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D8B6B" w14:textId="77777777" w:rsidR="00F24156" w:rsidRPr="000E700A" w:rsidRDefault="00F24156" w:rsidP="00F24156">
      <w:pPr>
        <w:spacing w:line="276" w:lineRule="auto"/>
        <w:rPr>
          <w:b/>
          <w:sz w:val="24"/>
          <w:szCs w:val="24"/>
          <w:lang w:val="hr-HR"/>
        </w:rPr>
      </w:pPr>
      <w:r w:rsidRPr="000E700A">
        <w:rPr>
          <w:b/>
          <w:sz w:val="24"/>
          <w:szCs w:val="24"/>
          <w:lang w:val="hr-HR"/>
        </w:rPr>
        <w:t>HRVATSKA AKADEMSKA I ISTRAŽIVAČKA MREŽA - CARNET</w:t>
      </w:r>
    </w:p>
    <w:p w14:paraId="69CA5186" w14:textId="77777777" w:rsidR="00F24156" w:rsidRPr="000E700A" w:rsidRDefault="00F24156" w:rsidP="00F24156">
      <w:pPr>
        <w:spacing w:line="276" w:lineRule="auto"/>
        <w:rPr>
          <w:b/>
          <w:sz w:val="24"/>
          <w:szCs w:val="24"/>
          <w:lang w:val="hr-HR"/>
        </w:rPr>
      </w:pPr>
      <w:r w:rsidRPr="000E700A">
        <w:rPr>
          <w:b/>
          <w:sz w:val="24"/>
          <w:szCs w:val="24"/>
          <w:lang w:val="hr-HR"/>
        </w:rPr>
        <w:t>10 000 ZAGREB</w:t>
      </w:r>
    </w:p>
    <w:p w14:paraId="11A670BA" w14:textId="77777777" w:rsidR="00F24156" w:rsidRPr="000E700A" w:rsidRDefault="00F24156" w:rsidP="00F24156">
      <w:pPr>
        <w:spacing w:line="276" w:lineRule="auto"/>
        <w:rPr>
          <w:b/>
          <w:sz w:val="24"/>
          <w:szCs w:val="24"/>
          <w:lang w:val="hr-HR"/>
        </w:rPr>
      </w:pPr>
      <w:r w:rsidRPr="000E700A">
        <w:rPr>
          <w:b/>
          <w:sz w:val="24"/>
          <w:szCs w:val="24"/>
          <w:lang w:val="hr-HR"/>
        </w:rPr>
        <w:t>JOSIPA MAROHNIĆA 5</w:t>
      </w:r>
    </w:p>
    <w:p w14:paraId="393F4A64" w14:textId="77777777" w:rsidR="00F24156" w:rsidRPr="000E700A" w:rsidRDefault="00F24156" w:rsidP="00F24156">
      <w:pPr>
        <w:spacing w:line="276" w:lineRule="auto"/>
        <w:rPr>
          <w:b/>
          <w:sz w:val="24"/>
          <w:szCs w:val="24"/>
          <w:lang w:val="hr-HR"/>
        </w:rPr>
      </w:pPr>
      <w:r w:rsidRPr="000E700A">
        <w:rPr>
          <w:b/>
          <w:sz w:val="24"/>
          <w:szCs w:val="24"/>
          <w:lang w:val="hr-HR"/>
        </w:rPr>
        <w:t>ŠIFRA GRADA: 133</w:t>
      </w:r>
    </w:p>
    <w:p w14:paraId="4C15A85B" w14:textId="77777777" w:rsidR="00F24156" w:rsidRPr="000E700A" w:rsidRDefault="00F24156" w:rsidP="00F24156">
      <w:pPr>
        <w:spacing w:line="276" w:lineRule="auto"/>
        <w:rPr>
          <w:b/>
          <w:sz w:val="24"/>
          <w:szCs w:val="24"/>
          <w:lang w:val="hr-HR"/>
        </w:rPr>
      </w:pPr>
      <w:r w:rsidRPr="000E700A">
        <w:rPr>
          <w:b/>
          <w:sz w:val="24"/>
          <w:szCs w:val="24"/>
          <w:lang w:val="hr-HR"/>
        </w:rPr>
        <w:t>RKP BROJ: 21852</w:t>
      </w:r>
    </w:p>
    <w:p w14:paraId="75E89694" w14:textId="77777777" w:rsidR="00F24156" w:rsidRPr="000E700A" w:rsidRDefault="00F24156" w:rsidP="00F24156">
      <w:pPr>
        <w:spacing w:line="276" w:lineRule="auto"/>
        <w:rPr>
          <w:b/>
          <w:sz w:val="24"/>
          <w:szCs w:val="24"/>
          <w:lang w:val="hr-HR"/>
        </w:rPr>
      </w:pPr>
      <w:r w:rsidRPr="000E700A">
        <w:rPr>
          <w:b/>
          <w:sz w:val="24"/>
          <w:szCs w:val="24"/>
          <w:lang w:val="hr-HR"/>
        </w:rPr>
        <w:t>MATIČNI BROJ: 01147820</w:t>
      </w:r>
    </w:p>
    <w:p w14:paraId="76E59EB4" w14:textId="77777777" w:rsidR="00F24156" w:rsidRPr="000E700A" w:rsidRDefault="00F24156" w:rsidP="00F24156">
      <w:pPr>
        <w:spacing w:line="276" w:lineRule="auto"/>
        <w:rPr>
          <w:b/>
          <w:sz w:val="24"/>
          <w:szCs w:val="24"/>
          <w:lang w:val="hr-HR"/>
        </w:rPr>
      </w:pPr>
      <w:r w:rsidRPr="000E700A">
        <w:rPr>
          <w:b/>
          <w:sz w:val="24"/>
          <w:szCs w:val="24"/>
          <w:lang w:val="hr-HR"/>
        </w:rPr>
        <w:t>OIB: 58101996540</w:t>
      </w:r>
    </w:p>
    <w:p w14:paraId="620651CE" w14:textId="77777777" w:rsidR="00F24156" w:rsidRPr="000E700A" w:rsidRDefault="00F24156" w:rsidP="00F24156">
      <w:pPr>
        <w:spacing w:line="276" w:lineRule="auto"/>
        <w:rPr>
          <w:b/>
          <w:sz w:val="24"/>
          <w:szCs w:val="24"/>
          <w:lang w:val="hr-HR"/>
        </w:rPr>
      </w:pPr>
      <w:r w:rsidRPr="000E700A">
        <w:rPr>
          <w:b/>
          <w:sz w:val="24"/>
          <w:szCs w:val="24"/>
          <w:lang w:val="hr-HR"/>
        </w:rPr>
        <w:t>RAZINA: 11</w:t>
      </w:r>
    </w:p>
    <w:p w14:paraId="277D33C3" w14:textId="77777777" w:rsidR="00F24156" w:rsidRPr="000E700A" w:rsidRDefault="00F24156" w:rsidP="00F24156">
      <w:pPr>
        <w:spacing w:line="276" w:lineRule="auto"/>
        <w:rPr>
          <w:b/>
          <w:sz w:val="24"/>
          <w:szCs w:val="24"/>
          <w:lang w:val="hr-HR"/>
        </w:rPr>
      </w:pPr>
      <w:r w:rsidRPr="000E700A">
        <w:rPr>
          <w:b/>
          <w:sz w:val="24"/>
          <w:szCs w:val="24"/>
          <w:lang w:val="hr-HR"/>
        </w:rPr>
        <w:t xml:space="preserve">RAZDJEL: 080 MINISTARSTVO ZNANOSTI I OBRAZOVANJA </w:t>
      </w:r>
    </w:p>
    <w:p w14:paraId="09379736" w14:textId="77777777" w:rsidR="00F24156" w:rsidRPr="000E700A" w:rsidRDefault="00F24156" w:rsidP="00F24156">
      <w:pPr>
        <w:spacing w:line="276" w:lineRule="auto"/>
        <w:rPr>
          <w:b/>
          <w:sz w:val="24"/>
          <w:szCs w:val="24"/>
          <w:lang w:val="hr-HR"/>
        </w:rPr>
      </w:pPr>
      <w:r w:rsidRPr="000E700A">
        <w:rPr>
          <w:b/>
          <w:sz w:val="24"/>
          <w:szCs w:val="24"/>
          <w:lang w:val="hr-HR"/>
        </w:rPr>
        <w:t>ŠIFRA DJELATNOSTI: 6209</w:t>
      </w:r>
    </w:p>
    <w:p w14:paraId="34B09E27" w14:textId="77777777" w:rsidR="00F24156" w:rsidRPr="000E700A" w:rsidRDefault="00F24156" w:rsidP="00F24156">
      <w:pPr>
        <w:spacing w:line="276" w:lineRule="auto"/>
        <w:rPr>
          <w:b/>
          <w:sz w:val="24"/>
          <w:szCs w:val="24"/>
          <w:lang w:val="hr-HR"/>
        </w:rPr>
      </w:pPr>
      <w:r w:rsidRPr="000E700A">
        <w:rPr>
          <w:b/>
          <w:sz w:val="24"/>
          <w:szCs w:val="24"/>
          <w:lang w:val="hr-HR"/>
        </w:rPr>
        <w:t>IBAN: HR1210010051863000160</w:t>
      </w:r>
    </w:p>
    <w:p w14:paraId="49203C3B" w14:textId="79D15E9A" w:rsidR="00FD1B8A" w:rsidRPr="000E700A" w:rsidRDefault="00F24156">
      <w:pPr>
        <w:rPr>
          <w:b/>
          <w:sz w:val="24"/>
          <w:szCs w:val="24"/>
          <w:lang w:val="hr-HR"/>
        </w:rPr>
      </w:pPr>
      <w:r w:rsidRPr="000E700A">
        <w:rPr>
          <w:b/>
          <w:sz w:val="24"/>
          <w:szCs w:val="24"/>
          <w:lang w:val="hr-HR"/>
        </w:rPr>
        <w:t xml:space="preserve">RAZDBOLJE: I – </w:t>
      </w:r>
      <w:r w:rsidR="007237EC" w:rsidRPr="000E700A">
        <w:rPr>
          <w:b/>
          <w:sz w:val="24"/>
          <w:szCs w:val="24"/>
          <w:lang w:val="hr-HR"/>
        </w:rPr>
        <w:t>XII</w:t>
      </w:r>
      <w:r w:rsidRPr="000E700A">
        <w:rPr>
          <w:b/>
          <w:sz w:val="24"/>
          <w:szCs w:val="24"/>
          <w:lang w:val="hr-HR"/>
        </w:rPr>
        <w:t xml:space="preserve"> 202</w:t>
      </w:r>
      <w:r w:rsidR="007237EC" w:rsidRPr="000E700A">
        <w:rPr>
          <w:b/>
          <w:sz w:val="24"/>
          <w:szCs w:val="24"/>
          <w:lang w:val="hr-HR"/>
        </w:rPr>
        <w:t>4</w:t>
      </w:r>
      <w:r w:rsidRPr="000E700A">
        <w:rPr>
          <w:b/>
          <w:sz w:val="24"/>
          <w:szCs w:val="24"/>
          <w:lang w:val="hr-HR"/>
        </w:rPr>
        <w:t>.</w:t>
      </w:r>
    </w:p>
    <w:p w14:paraId="2499DBDD" w14:textId="77777777" w:rsidR="00F24156" w:rsidRPr="000E700A" w:rsidRDefault="00F24156">
      <w:pPr>
        <w:rPr>
          <w:b/>
          <w:sz w:val="24"/>
          <w:szCs w:val="24"/>
          <w:lang w:val="hr-HR"/>
        </w:rPr>
      </w:pPr>
    </w:p>
    <w:p w14:paraId="046D122F" w14:textId="08B26EB3" w:rsidR="00F24156" w:rsidRPr="000E700A" w:rsidRDefault="00F24156">
      <w:pPr>
        <w:rPr>
          <w:b/>
          <w:sz w:val="24"/>
          <w:szCs w:val="24"/>
          <w:lang w:val="hr-HR"/>
        </w:rPr>
      </w:pPr>
      <w:r w:rsidRPr="000E700A">
        <w:rPr>
          <w:b/>
          <w:sz w:val="24"/>
          <w:szCs w:val="24"/>
          <w:lang w:val="hr-HR"/>
        </w:rPr>
        <w:t xml:space="preserve">Obrazloženje izvršenja financijskog plana Hrvatske akademske istraživačke mreže – CARNET za </w:t>
      </w:r>
      <w:r w:rsidR="00DA0760" w:rsidRPr="000E700A">
        <w:rPr>
          <w:b/>
          <w:sz w:val="24"/>
          <w:szCs w:val="24"/>
          <w:lang w:val="hr-HR"/>
        </w:rPr>
        <w:t>I-</w:t>
      </w:r>
      <w:r w:rsidR="007237EC" w:rsidRPr="000E700A">
        <w:rPr>
          <w:b/>
          <w:sz w:val="24"/>
          <w:szCs w:val="24"/>
          <w:lang w:val="hr-HR"/>
        </w:rPr>
        <w:t xml:space="preserve">XII </w:t>
      </w:r>
      <w:r w:rsidRPr="000E700A">
        <w:rPr>
          <w:b/>
          <w:sz w:val="24"/>
          <w:szCs w:val="24"/>
          <w:lang w:val="hr-HR"/>
        </w:rPr>
        <w:t>202</w:t>
      </w:r>
      <w:r w:rsidR="007237EC" w:rsidRPr="000E700A">
        <w:rPr>
          <w:b/>
          <w:sz w:val="24"/>
          <w:szCs w:val="24"/>
          <w:lang w:val="hr-HR"/>
        </w:rPr>
        <w:t>4</w:t>
      </w:r>
      <w:r w:rsidRPr="000E700A">
        <w:rPr>
          <w:b/>
          <w:sz w:val="24"/>
          <w:szCs w:val="24"/>
          <w:lang w:val="hr-HR"/>
        </w:rPr>
        <w:t>. godine</w:t>
      </w:r>
    </w:p>
    <w:p w14:paraId="4435D8D6" w14:textId="77777777" w:rsidR="003F5CC5" w:rsidRPr="000E700A" w:rsidRDefault="003F5CC5">
      <w:pPr>
        <w:rPr>
          <w:b/>
          <w:sz w:val="24"/>
          <w:szCs w:val="24"/>
          <w:lang w:val="hr-HR"/>
        </w:rPr>
      </w:pPr>
    </w:p>
    <w:p w14:paraId="34BC8209" w14:textId="77777777" w:rsidR="003F5CC5" w:rsidRPr="000E700A" w:rsidRDefault="003F5CC5" w:rsidP="003F5CC5">
      <w:pPr>
        <w:pStyle w:val="Heading2"/>
        <w:rPr>
          <w:sz w:val="24"/>
          <w:szCs w:val="24"/>
          <w:lang w:val="hr-HR"/>
        </w:rPr>
      </w:pPr>
      <w:r w:rsidRPr="000E700A">
        <w:rPr>
          <w:sz w:val="24"/>
          <w:szCs w:val="24"/>
          <w:lang w:val="hr-HR"/>
        </w:rPr>
        <w:t>21852 Hrvatska akademska i istraživačka mreža CARNET</w:t>
      </w:r>
    </w:p>
    <w:p w14:paraId="3ED55DD3" w14:textId="12FE226E" w:rsidR="003F5CC5" w:rsidRPr="000E700A" w:rsidRDefault="003F5CC5" w:rsidP="003F5CC5">
      <w:pPr>
        <w:spacing w:line="360" w:lineRule="auto"/>
        <w:jc w:val="both"/>
        <w:rPr>
          <w:sz w:val="24"/>
          <w:szCs w:val="24"/>
        </w:rPr>
      </w:pPr>
      <w:proofErr w:type="spellStart"/>
      <w:r w:rsidRPr="000E700A">
        <w:rPr>
          <w:sz w:val="24"/>
          <w:szCs w:val="24"/>
        </w:rPr>
        <w:t>Uredbom</w:t>
      </w:r>
      <w:proofErr w:type="spellEnd"/>
      <w:r w:rsidRPr="000E700A">
        <w:rPr>
          <w:sz w:val="24"/>
          <w:szCs w:val="24"/>
        </w:rPr>
        <w:t xml:space="preserve"> o </w:t>
      </w:r>
      <w:proofErr w:type="spellStart"/>
      <w:r w:rsidRPr="000E700A">
        <w:rPr>
          <w:sz w:val="24"/>
          <w:szCs w:val="24"/>
        </w:rPr>
        <w:t>Hrvatskoj</w:t>
      </w:r>
      <w:proofErr w:type="spellEnd"/>
      <w:r w:rsidRPr="000E700A">
        <w:rPr>
          <w:sz w:val="24"/>
          <w:szCs w:val="24"/>
        </w:rPr>
        <w:t xml:space="preserve"> </w:t>
      </w:r>
      <w:proofErr w:type="spellStart"/>
      <w:r w:rsidRPr="000E700A">
        <w:rPr>
          <w:sz w:val="24"/>
          <w:szCs w:val="24"/>
        </w:rPr>
        <w:t>akademskoj</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istraživačkoj</w:t>
      </w:r>
      <w:proofErr w:type="spellEnd"/>
      <w:r w:rsidRPr="000E700A">
        <w:rPr>
          <w:sz w:val="24"/>
          <w:szCs w:val="24"/>
        </w:rPr>
        <w:t xml:space="preserve"> </w:t>
      </w:r>
      <w:proofErr w:type="spellStart"/>
      <w:r w:rsidRPr="000E700A">
        <w:rPr>
          <w:sz w:val="24"/>
          <w:szCs w:val="24"/>
        </w:rPr>
        <w:t>mreži</w:t>
      </w:r>
      <w:proofErr w:type="spellEnd"/>
      <w:r w:rsidRPr="000E700A">
        <w:rPr>
          <w:sz w:val="24"/>
          <w:szCs w:val="24"/>
        </w:rPr>
        <w:t xml:space="preserve"> CARNET (NN 23/15) </w:t>
      </w:r>
      <w:proofErr w:type="spellStart"/>
      <w:r w:rsidRPr="000E700A">
        <w:rPr>
          <w:sz w:val="24"/>
          <w:szCs w:val="24"/>
        </w:rPr>
        <w:t>definirane</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w:t>
      </w:r>
      <w:proofErr w:type="spellStart"/>
      <w:r w:rsidRPr="000E700A">
        <w:rPr>
          <w:sz w:val="24"/>
          <w:szCs w:val="24"/>
        </w:rPr>
        <w:t>osnovne</w:t>
      </w:r>
      <w:proofErr w:type="spellEnd"/>
      <w:r w:rsidRPr="000E700A">
        <w:rPr>
          <w:sz w:val="24"/>
          <w:szCs w:val="24"/>
        </w:rPr>
        <w:t xml:space="preserve"> </w:t>
      </w:r>
      <w:proofErr w:type="spellStart"/>
      <w:r w:rsidRPr="000E700A">
        <w:rPr>
          <w:sz w:val="24"/>
          <w:szCs w:val="24"/>
        </w:rPr>
        <w:t>djelatnosti</w:t>
      </w:r>
      <w:proofErr w:type="spellEnd"/>
      <w:r w:rsidRPr="000E700A">
        <w:rPr>
          <w:sz w:val="24"/>
          <w:szCs w:val="24"/>
        </w:rPr>
        <w:t xml:space="preserve"> CARNET-a: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izgradnja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održavanje</w:t>
      </w:r>
      <w:proofErr w:type="spellEnd"/>
      <w:r w:rsidRPr="000E700A">
        <w:rPr>
          <w:sz w:val="24"/>
          <w:szCs w:val="24"/>
        </w:rPr>
        <w:t xml:space="preserve"> </w:t>
      </w:r>
      <w:proofErr w:type="spellStart"/>
      <w:r w:rsidRPr="000E700A">
        <w:rPr>
          <w:sz w:val="24"/>
          <w:szCs w:val="24"/>
        </w:rPr>
        <w:t>računalno-komunikacijske</w:t>
      </w:r>
      <w:proofErr w:type="spellEnd"/>
      <w:r w:rsidRPr="000E700A">
        <w:rPr>
          <w:sz w:val="24"/>
          <w:szCs w:val="24"/>
        </w:rPr>
        <w:t xml:space="preserve"> </w:t>
      </w:r>
      <w:proofErr w:type="spellStart"/>
      <w:r w:rsidRPr="000E700A">
        <w:rPr>
          <w:sz w:val="24"/>
          <w:szCs w:val="24"/>
        </w:rPr>
        <w:t>infrastrukture</w:t>
      </w:r>
      <w:proofErr w:type="spellEnd"/>
      <w:r w:rsidRPr="000E700A">
        <w:rPr>
          <w:sz w:val="24"/>
          <w:szCs w:val="24"/>
        </w:rPr>
        <w:t xml:space="preserve"> </w:t>
      </w:r>
      <w:proofErr w:type="spellStart"/>
      <w:r w:rsidRPr="000E700A">
        <w:rPr>
          <w:sz w:val="24"/>
          <w:szCs w:val="24"/>
        </w:rPr>
        <w:t>koja</w:t>
      </w:r>
      <w:proofErr w:type="spellEnd"/>
      <w:r w:rsidRPr="000E700A">
        <w:rPr>
          <w:sz w:val="24"/>
          <w:szCs w:val="24"/>
        </w:rPr>
        <w:t xml:space="preserve"> </w:t>
      </w:r>
      <w:proofErr w:type="spellStart"/>
      <w:r w:rsidRPr="000E700A">
        <w:rPr>
          <w:sz w:val="24"/>
          <w:szCs w:val="24"/>
        </w:rPr>
        <w:t>će</w:t>
      </w:r>
      <w:proofErr w:type="spellEnd"/>
      <w:r w:rsidRPr="000E700A">
        <w:rPr>
          <w:sz w:val="24"/>
          <w:szCs w:val="24"/>
        </w:rPr>
        <w:t xml:space="preserve"> </w:t>
      </w:r>
      <w:proofErr w:type="spellStart"/>
      <w:r w:rsidRPr="000E700A">
        <w:rPr>
          <w:sz w:val="24"/>
          <w:szCs w:val="24"/>
        </w:rPr>
        <w:t>povezivati</w:t>
      </w:r>
      <w:proofErr w:type="spellEnd"/>
      <w:r w:rsidRPr="000E700A">
        <w:rPr>
          <w:sz w:val="24"/>
          <w:szCs w:val="24"/>
        </w:rPr>
        <w:t xml:space="preserve"> </w:t>
      </w:r>
      <w:proofErr w:type="spellStart"/>
      <w:r w:rsidRPr="000E700A">
        <w:rPr>
          <w:sz w:val="24"/>
          <w:szCs w:val="24"/>
        </w:rPr>
        <w:t>obrazovne</w:t>
      </w:r>
      <w:proofErr w:type="spellEnd"/>
      <w:r w:rsidRPr="000E700A">
        <w:rPr>
          <w:sz w:val="24"/>
          <w:szCs w:val="24"/>
        </w:rPr>
        <w:t xml:space="preserve">, </w:t>
      </w:r>
      <w:proofErr w:type="spellStart"/>
      <w:r w:rsidRPr="000E700A">
        <w:rPr>
          <w:sz w:val="24"/>
          <w:szCs w:val="24"/>
        </w:rPr>
        <w:t>znanstveno-istraživačke</w:t>
      </w:r>
      <w:proofErr w:type="spellEnd"/>
      <w:r w:rsidRPr="000E700A">
        <w:rPr>
          <w:sz w:val="24"/>
          <w:szCs w:val="24"/>
        </w:rPr>
        <w:t xml:space="preserve"> </w:t>
      </w:r>
      <w:proofErr w:type="spellStart"/>
      <w:r w:rsidRPr="000E700A">
        <w:rPr>
          <w:sz w:val="24"/>
          <w:szCs w:val="24"/>
        </w:rPr>
        <w:t>te</w:t>
      </w:r>
      <w:proofErr w:type="spellEnd"/>
      <w:r w:rsidRPr="000E700A">
        <w:rPr>
          <w:sz w:val="24"/>
          <w:szCs w:val="24"/>
        </w:rPr>
        <w:t xml:space="preserve"> </w:t>
      </w:r>
      <w:proofErr w:type="spellStart"/>
      <w:r w:rsidRPr="000E700A">
        <w:rPr>
          <w:sz w:val="24"/>
          <w:szCs w:val="24"/>
        </w:rPr>
        <w:t>ostale</w:t>
      </w:r>
      <w:proofErr w:type="spellEnd"/>
      <w:r w:rsidRPr="000E700A">
        <w:rPr>
          <w:sz w:val="24"/>
          <w:szCs w:val="24"/>
        </w:rPr>
        <w:t xml:space="preserve"> </w:t>
      </w:r>
      <w:proofErr w:type="spellStart"/>
      <w:r w:rsidRPr="000E700A">
        <w:rPr>
          <w:sz w:val="24"/>
          <w:szCs w:val="24"/>
        </w:rPr>
        <w:t>ustanove</w:t>
      </w:r>
      <w:proofErr w:type="spellEnd"/>
      <w:r w:rsidRPr="000E700A">
        <w:rPr>
          <w:sz w:val="24"/>
          <w:szCs w:val="24"/>
        </w:rPr>
        <w:t xml:space="preserve"> po </w:t>
      </w:r>
      <w:proofErr w:type="spellStart"/>
      <w:r w:rsidRPr="000E700A">
        <w:rPr>
          <w:sz w:val="24"/>
          <w:szCs w:val="24"/>
        </w:rPr>
        <w:t>odluci</w:t>
      </w:r>
      <w:proofErr w:type="spellEnd"/>
      <w:r w:rsidRPr="000E700A">
        <w:rPr>
          <w:sz w:val="24"/>
          <w:szCs w:val="24"/>
        </w:rPr>
        <w:t xml:space="preserve"> </w:t>
      </w:r>
      <w:proofErr w:type="spellStart"/>
      <w:r w:rsidRPr="000E700A">
        <w:rPr>
          <w:sz w:val="24"/>
          <w:szCs w:val="24"/>
        </w:rPr>
        <w:t>osnivača</w:t>
      </w:r>
      <w:proofErr w:type="spellEnd"/>
      <w:r w:rsidRPr="000E700A">
        <w:rPr>
          <w:sz w:val="24"/>
          <w:szCs w:val="24"/>
        </w:rPr>
        <w:t xml:space="preserve">, </w:t>
      </w:r>
      <w:proofErr w:type="spellStart"/>
      <w:r w:rsidRPr="000E700A">
        <w:rPr>
          <w:sz w:val="24"/>
          <w:szCs w:val="24"/>
        </w:rPr>
        <w:t>međusobno</w:t>
      </w:r>
      <w:proofErr w:type="spellEnd"/>
      <w:r w:rsidRPr="000E700A">
        <w:rPr>
          <w:sz w:val="24"/>
          <w:szCs w:val="24"/>
        </w:rPr>
        <w:t xml:space="preserve"> u </w:t>
      </w:r>
      <w:proofErr w:type="spellStart"/>
      <w:r w:rsidRPr="000E700A">
        <w:rPr>
          <w:sz w:val="24"/>
          <w:szCs w:val="24"/>
        </w:rPr>
        <w:t>jedinstveni</w:t>
      </w:r>
      <w:proofErr w:type="spellEnd"/>
      <w:r w:rsidRPr="000E700A">
        <w:rPr>
          <w:sz w:val="24"/>
          <w:szCs w:val="24"/>
        </w:rPr>
        <w:t xml:space="preserve"> </w:t>
      </w:r>
      <w:proofErr w:type="spellStart"/>
      <w:r w:rsidRPr="000E700A">
        <w:rPr>
          <w:sz w:val="24"/>
          <w:szCs w:val="24"/>
        </w:rPr>
        <w:t>informacijski</w:t>
      </w:r>
      <w:proofErr w:type="spellEnd"/>
      <w:r w:rsidRPr="000E700A">
        <w:rPr>
          <w:sz w:val="24"/>
          <w:szCs w:val="24"/>
        </w:rPr>
        <w:t xml:space="preserve"> </w:t>
      </w:r>
      <w:proofErr w:type="spellStart"/>
      <w:r w:rsidRPr="000E700A">
        <w:rPr>
          <w:sz w:val="24"/>
          <w:szCs w:val="24"/>
        </w:rPr>
        <w:t>sustav</w:t>
      </w:r>
      <w:proofErr w:type="spellEnd"/>
      <w:r w:rsidRPr="000E700A">
        <w:rPr>
          <w:sz w:val="24"/>
          <w:szCs w:val="24"/>
        </w:rPr>
        <w:t xml:space="preserve">, </w:t>
      </w:r>
      <w:proofErr w:type="spellStart"/>
      <w:r w:rsidRPr="000E700A">
        <w:rPr>
          <w:sz w:val="24"/>
          <w:szCs w:val="24"/>
        </w:rPr>
        <w:t>povezivanje</w:t>
      </w:r>
      <w:proofErr w:type="spellEnd"/>
      <w:r w:rsidRPr="000E700A">
        <w:rPr>
          <w:sz w:val="24"/>
          <w:szCs w:val="24"/>
        </w:rPr>
        <w:t xml:space="preserve"> CARNET </w:t>
      </w:r>
      <w:proofErr w:type="spellStart"/>
      <w:r w:rsidRPr="000E700A">
        <w:rPr>
          <w:sz w:val="24"/>
          <w:szCs w:val="24"/>
        </w:rPr>
        <w:t>mreže</w:t>
      </w:r>
      <w:proofErr w:type="spellEnd"/>
      <w:r w:rsidRPr="000E700A">
        <w:rPr>
          <w:sz w:val="24"/>
          <w:szCs w:val="24"/>
        </w:rPr>
        <w:t xml:space="preserve"> s </w:t>
      </w:r>
      <w:proofErr w:type="spellStart"/>
      <w:r w:rsidRPr="000E700A">
        <w:rPr>
          <w:sz w:val="24"/>
          <w:szCs w:val="24"/>
        </w:rPr>
        <w:t>međunarodnim</w:t>
      </w:r>
      <w:proofErr w:type="spellEnd"/>
      <w:r w:rsidRPr="000E700A">
        <w:rPr>
          <w:sz w:val="24"/>
          <w:szCs w:val="24"/>
        </w:rPr>
        <w:t xml:space="preserve"> </w:t>
      </w:r>
      <w:proofErr w:type="spellStart"/>
      <w:r w:rsidRPr="000E700A">
        <w:rPr>
          <w:sz w:val="24"/>
          <w:szCs w:val="24"/>
        </w:rPr>
        <w:t>mrežama</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izgradnja</w:t>
      </w:r>
      <w:proofErr w:type="spellEnd"/>
      <w:r w:rsidRPr="000E700A">
        <w:rPr>
          <w:sz w:val="24"/>
          <w:szCs w:val="24"/>
        </w:rPr>
        <w:t xml:space="preserve"> </w:t>
      </w:r>
      <w:proofErr w:type="spellStart"/>
      <w:r w:rsidRPr="000E700A">
        <w:rPr>
          <w:sz w:val="24"/>
          <w:szCs w:val="24"/>
        </w:rPr>
        <w:t>informacijskih</w:t>
      </w:r>
      <w:proofErr w:type="spellEnd"/>
      <w:r w:rsidRPr="000E700A">
        <w:rPr>
          <w:sz w:val="24"/>
          <w:szCs w:val="24"/>
        </w:rPr>
        <w:t xml:space="preserve"> </w:t>
      </w:r>
      <w:proofErr w:type="spellStart"/>
      <w:r w:rsidRPr="000E700A">
        <w:rPr>
          <w:sz w:val="24"/>
          <w:szCs w:val="24"/>
        </w:rPr>
        <w:t>čvorišta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mreža</w:t>
      </w:r>
      <w:proofErr w:type="spellEnd"/>
      <w:r w:rsidRPr="000E700A">
        <w:rPr>
          <w:sz w:val="24"/>
          <w:szCs w:val="24"/>
        </w:rPr>
        <w:t xml:space="preserve">, </w:t>
      </w:r>
      <w:proofErr w:type="spellStart"/>
      <w:r w:rsidRPr="000E700A">
        <w:rPr>
          <w:sz w:val="24"/>
          <w:szCs w:val="24"/>
        </w:rPr>
        <w:t>provedba</w:t>
      </w:r>
      <w:proofErr w:type="spellEnd"/>
      <w:r w:rsidRPr="000E700A">
        <w:rPr>
          <w:sz w:val="24"/>
          <w:szCs w:val="24"/>
        </w:rPr>
        <w:t xml:space="preserve"> </w:t>
      </w:r>
      <w:proofErr w:type="spellStart"/>
      <w:r w:rsidRPr="000E700A">
        <w:rPr>
          <w:sz w:val="24"/>
          <w:szCs w:val="24"/>
        </w:rPr>
        <w:t>informatizacije</w:t>
      </w:r>
      <w:proofErr w:type="spellEnd"/>
      <w:r w:rsidRPr="000E700A">
        <w:rPr>
          <w:sz w:val="24"/>
          <w:szCs w:val="24"/>
        </w:rPr>
        <w:t xml:space="preserve"> </w:t>
      </w:r>
      <w:proofErr w:type="spellStart"/>
      <w:r w:rsidRPr="000E700A">
        <w:rPr>
          <w:sz w:val="24"/>
          <w:szCs w:val="24"/>
        </w:rPr>
        <w:t>sustava</w:t>
      </w:r>
      <w:proofErr w:type="spellEnd"/>
      <w:r w:rsidRPr="000E700A">
        <w:rPr>
          <w:sz w:val="24"/>
          <w:szCs w:val="24"/>
        </w:rPr>
        <w:t xml:space="preserve"> </w:t>
      </w:r>
      <w:proofErr w:type="spellStart"/>
      <w:r w:rsidRPr="000E700A">
        <w:rPr>
          <w:sz w:val="24"/>
          <w:szCs w:val="24"/>
        </w:rPr>
        <w:t>osnovnog</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srednjeg</w:t>
      </w:r>
      <w:proofErr w:type="spellEnd"/>
      <w:r w:rsidRPr="000E700A">
        <w:rPr>
          <w:sz w:val="24"/>
          <w:szCs w:val="24"/>
        </w:rPr>
        <w:t xml:space="preserve"> </w:t>
      </w:r>
      <w:proofErr w:type="spellStart"/>
      <w:r w:rsidRPr="000E700A">
        <w:rPr>
          <w:sz w:val="24"/>
          <w:szCs w:val="24"/>
        </w:rPr>
        <w:t>obrazovanja</w:t>
      </w:r>
      <w:proofErr w:type="spellEnd"/>
      <w:r w:rsidRPr="000E700A">
        <w:rPr>
          <w:sz w:val="24"/>
          <w:szCs w:val="24"/>
        </w:rPr>
        <w:t xml:space="preserve">, </w:t>
      </w:r>
      <w:proofErr w:type="spellStart"/>
      <w:r w:rsidRPr="000E700A">
        <w:rPr>
          <w:sz w:val="24"/>
          <w:szCs w:val="24"/>
        </w:rPr>
        <w:t>kroz</w:t>
      </w:r>
      <w:proofErr w:type="spellEnd"/>
      <w:r w:rsidRPr="000E700A">
        <w:rPr>
          <w:sz w:val="24"/>
          <w:szCs w:val="24"/>
        </w:rPr>
        <w:t xml:space="preserve"> </w:t>
      </w:r>
      <w:proofErr w:type="spellStart"/>
      <w:r w:rsidRPr="000E700A">
        <w:rPr>
          <w:sz w:val="24"/>
          <w:szCs w:val="24"/>
        </w:rPr>
        <w:t>planiranje</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organizaciju</w:t>
      </w:r>
      <w:proofErr w:type="spellEnd"/>
      <w:r w:rsidRPr="000E700A">
        <w:rPr>
          <w:sz w:val="24"/>
          <w:szCs w:val="24"/>
        </w:rPr>
        <w:t xml:space="preserve">, </w:t>
      </w:r>
      <w:proofErr w:type="spellStart"/>
      <w:r w:rsidRPr="000E700A">
        <w:rPr>
          <w:sz w:val="24"/>
          <w:szCs w:val="24"/>
        </w:rPr>
        <w:t>provedbu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praćenje</w:t>
      </w:r>
      <w:proofErr w:type="spellEnd"/>
      <w:r w:rsidRPr="000E700A">
        <w:rPr>
          <w:sz w:val="24"/>
          <w:szCs w:val="24"/>
        </w:rPr>
        <w:t xml:space="preserve"> </w:t>
      </w:r>
      <w:proofErr w:type="spellStart"/>
      <w:r w:rsidRPr="000E700A">
        <w:rPr>
          <w:sz w:val="24"/>
          <w:szCs w:val="24"/>
        </w:rPr>
        <w:t>ključnih</w:t>
      </w:r>
      <w:proofErr w:type="spellEnd"/>
      <w:r w:rsidRPr="000E700A">
        <w:rPr>
          <w:sz w:val="24"/>
          <w:szCs w:val="24"/>
        </w:rPr>
        <w:t xml:space="preserve"> </w:t>
      </w:r>
      <w:proofErr w:type="spellStart"/>
      <w:r w:rsidRPr="000E700A">
        <w:rPr>
          <w:sz w:val="24"/>
          <w:szCs w:val="24"/>
        </w:rPr>
        <w:t>aspekata</w:t>
      </w:r>
      <w:proofErr w:type="spellEnd"/>
      <w:r w:rsidRPr="000E700A">
        <w:rPr>
          <w:sz w:val="24"/>
          <w:szCs w:val="24"/>
        </w:rPr>
        <w:t xml:space="preserve"> </w:t>
      </w:r>
      <w:proofErr w:type="spellStart"/>
      <w:r w:rsidRPr="000E700A">
        <w:rPr>
          <w:sz w:val="24"/>
          <w:szCs w:val="24"/>
        </w:rPr>
        <w:t>informatizacije</w:t>
      </w:r>
      <w:proofErr w:type="spellEnd"/>
      <w:r w:rsidRPr="000E700A">
        <w:rPr>
          <w:sz w:val="24"/>
          <w:szCs w:val="24"/>
        </w:rPr>
        <w:t xml:space="preserve">, u </w:t>
      </w:r>
      <w:proofErr w:type="spellStart"/>
      <w:r w:rsidRPr="000E700A">
        <w:rPr>
          <w:sz w:val="24"/>
          <w:szCs w:val="24"/>
        </w:rPr>
        <w:t>suradnji</w:t>
      </w:r>
      <w:proofErr w:type="spellEnd"/>
      <w:r w:rsidRPr="000E700A">
        <w:rPr>
          <w:sz w:val="24"/>
          <w:szCs w:val="24"/>
        </w:rPr>
        <w:t xml:space="preserve"> s </w:t>
      </w:r>
      <w:proofErr w:type="spellStart"/>
      <w:r w:rsidRPr="000E700A">
        <w:rPr>
          <w:sz w:val="24"/>
          <w:szCs w:val="24"/>
        </w:rPr>
        <w:t>Ministarstvom</w:t>
      </w:r>
      <w:proofErr w:type="spellEnd"/>
      <w:r w:rsidRPr="000E700A">
        <w:rPr>
          <w:sz w:val="24"/>
          <w:szCs w:val="24"/>
        </w:rPr>
        <w:t xml:space="preserve"> </w:t>
      </w:r>
      <w:proofErr w:type="spellStart"/>
      <w:r w:rsidRPr="000E700A">
        <w:rPr>
          <w:sz w:val="24"/>
          <w:szCs w:val="24"/>
        </w:rPr>
        <w:t>nadležnim</w:t>
      </w:r>
      <w:proofErr w:type="spellEnd"/>
      <w:r w:rsidRPr="000E700A">
        <w:rPr>
          <w:sz w:val="24"/>
          <w:szCs w:val="24"/>
        </w:rPr>
        <w:t xml:space="preserve"> za </w:t>
      </w:r>
      <w:proofErr w:type="spellStart"/>
      <w:r w:rsidRPr="000E700A">
        <w:rPr>
          <w:sz w:val="24"/>
          <w:szCs w:val="24"/>
        </w:rPr>
        <w:t>obrazovanje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znanost</w:t>
      </w:r>
      <w:proofErr w:type="spellEnd"/>
      <w:r w:rsidRPr="000E700A">
        <w:rPr>
          <w:sz w:val="24"/>
          <w:szCs w:val="24"/>
        </w:rPr>
        <w:t xml:space="preserve">, </w:t>
      </w:r>
      <w:proofErr w:type="spellStart"/>
      <w:r w:rsidRPr="000E700A">
        <w:rPr>
          <w:sz w:val="24"/>
          <w:szCs w:val="24"/>
        </w:rPr>
        <w:t>poslovi</w:t>
      </w:r>
      <w:proofErr w:type="spellEnd"/>
      <w:r w:rsidRPr="000E700A">
        <w:rPr>
          <w:sz w:val="24"/>
          <w:szCs w:val="24"/>
        </w:rPr>
        <w:t xml:space="preserve"> </w:t>
      </w:r>
      <w:proofErr w:type="spellStart"/>
      <w:r w:rsidRPr="000E700A">
        <w:rPr>
          <w:sz w:val="24"/>
          <w:szCs w:val="24"/>
        </w:rPr>
        <w:t>iz</w:t>
      </w:r>
      <w:proofErr w:type="spellEnd"/>
      <w:r w:rsidRPr="000E700A">
        <w:rPr>
          <w:sz w:val="24"/>
          <w:szCs w:val="24"/>
        </w:rPr>
        <w:t xml:space="preserve"> </w:t>
      </w:r>
      <w:proofErr w:type="spellStart"/>
      <w:r w:rsidRPr="000E700A">
        <w:rPr>
          <w:sz w:val="24"/>
          <w:szCs w:val="24"/>
        </w:rPr>
        <w:t>nadležnosti</w:t>
      </w:r>
      <w:proofErr w:type="spellEnd"/>
      <w:r w:rsidRPr="000E700A">
        <w:rPr>
          <w:sz w:val="24"/>
          <w:szCs w:val="24"/>
        </w:rPr>
        <w:t xml:space="preserve"> </w:t>
      </w:r>
      <w:proofErr w:type="spellStart"/>
      <w:r w:rsidRPr="000E700A">
        <w:rPr>
          <w:sz w:val="24"/>
          <w:szCs w:val="24"/>
        </w:rPr>
        <w:t>nacionalnog</w:t>
      </w:r>
      <w:proofErr w:type="spellEnd"/>
      <w:r w:rsidRPr="000E700A">
        <w:rPr>
          <w:sz w:val="24"/>
          <w:szCs w:val="24"/>
        </w:rPr>
        <w:t xml:space="preserve"> </w:t>
      </w:r>
      <w:proofErr w:type="spellStart"/>
      <w:r w:rsidRPr="000E700A">
        <w:rPr>
          <w:sz w:val="24"/>
          <w:szCs w:val="24"/>
        </w:rPr>
        <w:t>tijela</w:t>
      </w:r>
      <w:proofErr w:type="spellEnd"/>
      <w:r w:rsidRPr="000E700A">
        <w:rPr>
          <w:sz w:val="24"/>
          <w:szCs w:val="24"/>
        </w:rPr>
        <w:t xml:space="preserve"> za </w:t>
      </w:r>
      <w:proofErr w:type="spellStart"/>
      <w:r w:rsidRPr="000E700A">
        <w:rPr>
          <w:sz w:val="24"/>
          <w:szCs w:val="24"/>
        </w:rPr>
        <w:t>prevenciju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zaštitu</w:t>
      </w:r>
      <w:proofErr w:type="spellEnd"/>
      <w:r w:rsidRPr="000E700A">
        <w:rPr>
          <w:sz w:val="24"/>
          <w:szCs w:val="24"/>
        </w:rPr>
        <w:t xml:space="preserve"> od </w:t>
      </w:r>
      <w:proofErr w:type="spellStart"/>
      <w:r w:rsidRPr="000E700A">
        <w:rPr>
          <w:sz w:val="24"/>
          <w:szCs w:val="24"/>
        </w:rPr>
        <w:t>računalnih</w:t>
      </w:r>
      <w:proofErr w:type="spellEnd"/>
      <w:r w:rsidRPr="000E700A">
        <w:rPr>
          <w:sz w:val="24"/>
          <w:szCs w:val="24"/>
        </w:rPr>
        <w:t xml:space="preserve"> </w:t>
      </w:r>
      <w:proofErr w:type="spellStart"/>
      <w:r w:rsidRPr="000E700A">
        <w:rPr>
          <w:sz w:val="24"/>
          <w:szCs w:val="24"/>
        </w:rPr>
        <w:t>ugroza</w:t>
      </w:r>
      <w:proofErr w:type="spellEnd"/>
      <w:r w:rsidRPr="000E700A">
        <w:rPr>
          <w:sz w:val="24"/>
          <w:szCs w:val="24"/>
        </w:rPr>
        <w:t xml:space="preserve"> </w:t>
      </w:r>
      <w:proofErr w:type="spellStart"/>
      <w:r w:rsidRPr="000E700A">
        <w:rPr>
          <w:sz w:val="24"/>
          <w:szCs w:val="24"/>
        </w:rPr>
        <w:t>sigurnosti</w:t>
      </w:r>
      <w:proofErr w:type="spellEnd"/>
      <w:r w:rsidRPr="000E700A">
        <w:rPr>
          <w:sz w:val="24"/>
          <w:szCs w:val="24"/>
        </w:rPr>
        <w:t xml:space="preserve"> </w:t>
      </w:r>
      <w:proofErr w:type="spellStart"/>
      <w:r w:rsidRPr="000E700A">
        <w:rPr>
          <w:sz w:val="24"/>
          <w:szCs w:val="24"/>
        </w:rPr>
        <w:t>javnih</w:t>
      </w:r>
      <w:proofErr w:type="spellEnd"/>
      <w:r w:rsidRPr="000E700A">
        <w:rPr>
          <w:sz w:val="24"/>
          <w:szCs w:val="24"/>
        </w:rPr>
        <w:t xml:space="preserve"> </w:t>
      </w:r>
      <w:proofErr w:type="spellStart"/>
      <w:r w:rsidRPr="000E700A">
        <w:rPr>
          <w:sz w:val="24"/>
          <w:szCs w:val="24"/>
        </w:rPr>
        <w:t>informacijskih</w:t>
      </w:r>
      <w:proofErr w:type="spellEnd"/>
      <w:r w:rsidRPr="000E700A">
        <w:rPr>
          <w:sz w:val="24"/>
          <w:szCs w:val="24"/>
        </w:rPr>
        <w:t xml:space="preserve"> </w:t>
      </w:r>
      <w:proofErr w:type="spellStart"/>
      <w:r w:rsidRPr="000E700A">
        <w:rPr>
          <w:sz w:val="24"/>
          <w:szCs w:val="24"/>
        </w:rPr>
        <w:t>sustava</w:t>
      </w:r>
      <w:proofErr w:type="spellEnd"/>
      <w:r w:rsidRPr="000E700A">
        <w:rPr>
          <w:sz w:val="24"/>
          <w:szCs w:val="24"/>
        </w:rPr>
        <w:t xml:space="preserve"> u </w:t>
      </w:r>
      <w:proofErr w:type="spellStart"/>
      <w:r w:rsidRPr="000E700A">
        <w:rPr>
          <w:sz w:val="24"/>
          <w:szCs w:val="24"/>
        </w:rPr>
        <w:t>Republici</w:t>
      </w:r>
      <w:proofErr w:type="spellEnd"/>
      <w:r w:rsidRPr="000E700A">
        <w:rPr>
          <w:sz w:val="24"/>
          <w:szCs w:val="24"/>
        </w:rPr>
        <w:t xml:space="preserve"> </w:t>
      </w:r>
      <w:proofErr w:type="spellStart"/>
      <w:r w:rsidRPr="000E700A">
        <w:rPr>
          <w:sz w:val="24"/>
          <w:szCs w:val="24"/>
        </w:rPr>
        <w:t>Hrvatskoj</w:t>
      </w:r>
      <w:proofErr w:type="spellEnd"/>
      <w:r w:rsidRPr="000E700A">
        <w:rPr>
          <w:sz w:val="24"/>
          <w:szCs w:val="24"/>
        </w:rPr>
        <w:t xml:space="preserve">, </w:t>
      </w:r>
      <w:proofErr w:type="spellStart"/>
      <w:r w:rsidRPr="000E700A">
        <w:rPr>
          <w:sz w:val="24"/>
          <w:szCs w:val="24"/>
        </w:rPr>
        <w:t>promocija</w:t>
      </w:r>
      <w:proofErr w:type="spellEnd"/>
      <w:r w:rsidRPr="000E700A">
        <w:rPr>
          <w:sz w:val="24"/>
          <w:szCs w:val="24"/>
        </w:rPr>
        <w:t xml:space="preserve"> </w:t>
      </w:r>
      <w:proofErr w:type="spellStart"/>
      <w:r w:rsidRPr="000E700A">
        <w:rPr>
          <w:sz w:val="24"/>
          <w:szCs w:val="24"/>
        </w:rPr>
        <w:t>informacijskih</w:t>
      </w:r>
      <w:proofErr w:type="spellEnd"/>
      <w:r w:rsidRPr="000E700A">
        <w:rPr>
          <w:sz w:val="24"/>
          <w:szCs w:val="24"/>
        </w:rPr>
        <w:t xml:space="preserve"> </w:t>
      </w:r>
      <w:proofErr w:type="spellStart"/>
      <w:r w:rsidRPr="000E700A">
        <w:rPr>
          <w:sz w:val="24"/>
          <w:szCs w:val="24"/>
        </w:rPr>
        <w:t>tehnologija</w:t>
      </w:r>
      <w:proofErr w:type="spellEnd"/>
      <w:r w:rsidRPr="000E700A">
        <w:rPr>
          <w:sz w:val="24"/>
          <w:szCs w:val="24"/>
        </w:rPr>
        <w:t xml:space="preserve">, </w:t>
      </w:r>
      <w:proofErr w:type="spellStart"/>
      <w:r w:rsidRPr="000E700A">
        <w:rPr>
          <w:sz w:val="24"/>
          <w:szCs w:val="24"/>
        </w:rPr>
        <w:t>ostali</w:t>
      </w:r>
      <w:proofErr w:type="spellEnd"/>
      <w:r w:rsidRPr="000E700A">
        <w:rPr>
          <w:sz w:val="24"/>
          <w:szCs w:val="24"/>
        </w:rPr>
        <w:t xml:space="preserve"> </w:t>
      </w:r>
      <w:proofErr w:type="spellStart"/>
      <w:r w:rsidRPr="000E700A">
        <w:rPr>
          <w:sz w:val="24"/>
          <w:szCs w:val="24"/>
        </w:rPr>
        <w:t>poslovi</w:t>
      </w:r>
      <w:proofErr w:type="spellEnd"/>
      <w:r w:rsidRPr="000E700A">
        <w:rPr>
          <w:sz w:val="24"/>
          <w:szCs w:val="24"/>
        </w:rPr>
        <w:t xml:space="preserve"> </w:t>
      </w:r>
      <w:proofErr w:type="spellStart"/>
      <w:r w:rsidRPr="000E700A">
        <w:rPr>
          <w:sz w:val="24"/>
          <w:szCs w:val="24"/>
        </w:rPr>
        <w:t>iz</w:t>
      </w:r>
      <w:proofErr w:type="spellEnd"/>
      <w:r w:rsidRPr="000E700A">
        <w:rPr>
          <w:sz w:val="24"/>
          <w:szCs w:val="24"/>
        </w:rPr>
        <w:t xml:space="preserve"> </w:t>
      </w:r>
      <w:proofErr w:type="spellStart"/>
      <w:r w:rsidRPr="000E700A">
        <w:rPr>
          <w:sz w:val="24"/>
          <w:szCs w:val="24"/>
        </w:rPr>
        <w:t>područja</w:t>
      </w:r>
      <w:proofErr w:type="spellEnd"/>
      <w:r w:rsidRPr="000E700A">
        <w:rPr>
          <w:sz w:val="24"/>
          <w:szCs w:val="24"/>
        </w:rPr>
        <w:t xml:space="preserve"> </w:t>
      </w:r>
      <w:proofErr w:type="spellStart"/>
      <w:r w:rsidRPr="000E700A">
        <w:rPr>
          <w:sz w:val="24"/>
          <w:szCs w:val="24"/>
        </w:rPr>
        <w:t>informacijskih</w:t>
      </w:r>
      <w:proofErr w:type="spellEnd"/>
      <w:r w:rsidRPr="000E700A">
        <w:rPr>
          <w:sz w:val="24"/>
          <w:szCs w:val="24"/>
        </w:rPr>
        <w:t xml:space="preserve"> </w:t>
      </w:r>
      <w:proofErr w:type="spellStart"/>
      <w:r w:rsidRPr="000E700A">
        <w:rPr>
          <w:sz w:val="24"/>
          <w:szCs w:val="24"/>
        </w:rPr>
        <w:t>znanosti</w:t>
      </w:r>
      <w:proofErr w:type="spellEnd"/>
      <w:r w:rsidRPr="000E700A">
        <w:rPr>
          <w:sz w:val="24"/>
          <w:szCs w:val="24"/>
        </w:rPr>
        <w:t xml:space="preserve">, </w:t>
      </w:r>
      <w:proofErr w:type="spellStart"/>
      <w:r w:rsidRPr="000E700A">
        <w:rPr>
          <w:sz w:val="24"/>
          <w:szCs w:val="24"/>
        </w:rPr>
        <w:t>pružanje</w:t>
      </w:r>
      <w:proofErr w:type="spellEnd"/>
      <w:r w:rsidRPr="000E700A">
        <w:rPr>
          <w:sz w:val="24"/>
          <w:szCs w:val="24"/>
        </w:rPr>
        <w:t xml:space="preserve"> </w:t>
      </w:r>
      <w:proofErr w:type="spellStart"/>
      <w:r w:rsidRPr="000E700A">
        <w:rPr>
          <w:sz w:val="24"/>
          <w:szCs w:val="24"/>
        </w:rPr>
        <w:t>savjeta</w:t>
      </w:r>
      <w:proofErr w:type="spellEnd"/>
      <w:r w:rsidRPr="000E700A">
        <w:rPr>
          <w:sz w:val="24"/>
          <w:szCs w:val="24"/>
        </w:rPr>
        <w:t xml:space="preserve"> o </w:t>
      </w:r>
      <w:proofErr w:type="spellStart"/>
      <w:r w:rsidRPr="000E700A">
        <w:rPr>
          <w:sz w:val="24"/>
          <w:szCs w:val="24"/>
        </w:rPr>
        <w:t>računalnoj</w:t>
      </w:r>
      <w:proofErr w:type="spellEnd"/>
      <w:r w:rsidRPr="000E700A">
        <w:rPr>
          <w:sz w:val="24"/>
          <w:szCs w:val="24"/>
        </w:rPr>
        <w:t xml:space="preserve"> </w:t>
      </w:r>
      <w:proofErr w:type="spellStart"/>
      <w:r w:rsidRPr="000E700A">
        <w:rPr>
          <w:sz w:val="24"/>
          <w:szCs w:val="24"/>
        </w:rPr>
        <w:t>opremi</w:t>
      </w:r>
      <w:proofErr w:type="spellEnd"/>
      <w:r w:rsidRPr="000E700A">
        <w:rPr>
          <w:sz w:val="24"/>
          <w:szCs w:val="24"/>
        </w:rPr>
        <w:t xml:space="preserve"> (</w:t>
      </w:r>
      <w:proofErr w:type="spellStart"/>
      <w:r w:rsidRPr="000E700A">
        <w:rPr>
          <w:sz w:val="24"/>
          <w:szCs w:val="24"/>
        </w:rPr>
        <w:t>hard</w:t>
      </w:r>
      <w:r w:rsidR="00844835" w:rsidRPr="000E700A">
        <w:rPr>
          <w:sz w:val="24"/>
          <w:szCs w:val="24"/>
        </w:rPr>
        <w:t>veru</w:t>
      </w:r>
      <w:proofErr w:type="spellEnd"/>
      <w:r w:rsidRPr="000E700A">
        <w:rPr>
          <w:sz w:val="24"/>
          <w:szCs w:val="24"/>
        </w:rPr>
        <w:t xml:space="preserve">), </w:t>
      </w:r>
      <w:proofErr w:type="spellStart"/>
      <w:r w:rsidRPr="000E700A">
        <w:rPr>
          <w:sz w:val="24"/>
          <w:szCs w:val="24"/>
        </w:rPr>
        <w:t>ostale</w:t>
      </w:r>
      <w:proofErr w:type="spellEnd"/>
      <w:r w:rsidRPr="000E700A">
        <w:rPr>
          <w:sz w:val="24"/>
          <w:szCs w:val="24"/>
        </w:rPr>
        <w:t xml:space="preserve"> </w:t>
      </w:r>
      <w:proofErr w:type="spellStart"/>
      <w:r w:rsidRPr="000E700A">
        <w:rPr>
          <w:sz w:val="24"/>
          <w:szCs w:val="24"/>
        </w:rPr>
        <w:t>djelatnosti</w:t>
      </w:r>
      <w:proofErr w:type="spellEnd"/>
      <w:r w:rsidRPr="000E700A">
        <w:rPr>
          <w:sz w:val="24"/>
          <w:szCs w:val="24"/>
        </w:rPr>
        <w:t xml:space="preserve"> </w:t>
      </w:r>
      <w:proofErr w:type="spellStart"/>
      <w:r w:rsidRPr="000E700A">
        <w:rPr>
          <w:sz w:val="24"/>
          <w:szCs w:val="24"/>
        </w:rPr>
        <w:t>povezane</w:t>
      </w:r>
      <w:proofErr w:type="spellEnd"/>
      <w:r w:rsidRPr="000E700A">
        <w:rPr>
          <w:sz w:val="24"/>
          <w:szCs w:val="24"/>
        </w:rPr>
        <w:t xml:space="preserve"> s </w:t>
      </w:r>
      <w:proofErr w:type="spellStart"/>
      <w:r w:rsidRPr="000E700A">
        <w:rPr>
          <w:sz w:val="24"/>
          <w:szCs w:val="24"/>
        </w:rPr>
        <w:t>računalima</w:t>
      </w:r>
      <w:proofErr w:type="spellEnd"/>
      <w:r w:rsidRPr="000E700A">
        <w:rPr>
          <w:sz w:val="24"/>
          <w:szCs w:val="24"/>
        </w:rPr>
        <w:t xml:space="preserve">, </w:t>
      </w:r>
      <w:proofErr w:type="spellStart"/>
      <w:r w:rsidRPr="000E700A">
        <w:rPr>
          <w:sz w:val="24"/>
          <w:szCs w:val="24"/>
        </w:rPr>
        <w:t>izrada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pribavljanje</w:t>
      </w:r>
      <w:proofErr w:type="spellEnd"/>
      <w:r w:rsidRPr="000E700A">
        <w:rPr>
          <w:sz w:val="24"/>
          <w:szCs w:val="24"/>
        </w:rPr>
        <w:t xml:space="preserve"> </w:t>
      </w:r>
      <w:proofErr w:type="spellStart"/>
      <w:r w:rsidRPr="000E700A">
        <w:rPr>
          <w:sz w:val="24"/>
          <w:szCs w:val="24"/>
        </w:rPr>
        <w:t>programske</w:t>
      </w:r>
      <w:proofErr w:type="spellEnd"/>
      <w:r w:rsidRPr="000E700A">
        <w:rPr>
          <w:sz w:val="24"/>
          <w:szCs w:val="24"/>
        </w:rPr>
        <w:t xml:space="preserve"> </w:t>
      </w:r>
      <w:proofErr w:type="spellStart"/>
      <w:r w:rsidRPr="000E700A">
        <w:rPr>
          <w:sz w:val="24"/>
          <w:szCs w:val="24"/>
        </w:rPr>
        <w:t>opreme</w:t>
      </w:r>
      <w:proofErr w:type="spellEnd"/>
      <w:r w:rsidRPr="000E700A">
        <w:rPr>
          <w:sz w:val="24"/>
          <w:szCs w:val="24"/>
        </w:rPr>
        <w:t xml:space="preserve"> (</w:t>
      </w:r>
      <w:proofErr w:type="spellStart"/>
      <w:r w:rsidRPr="000E700A">
        <w:rPr>
          <w:sz w:val="24"/>
          <w:szCs w:val="24"/>
        </w:rPr>
        <w:t>soft</w:t>
      </w:r>
      <w:r w:rsidR="00844835" w:rsidRPr="000E700A">
        <w:rPr>
          <w:sz w:val="24"/>
          <w:szCs w:val="24"/>
        </w:rPr>
        <w:t>vera</w:t>
      </w:r>
      <w:proofErr w:type="spellEnd"/>
      <w:r w:rsidRPr="000E700A">
        <w:rPr>
          <w:sz w:val="24"/>
          <w:szCs w:val="24"/>
        </w:rPr>
        <w:t xml:space="preserve">), </w:t>
      </w:r>
      <w:proofErr w:type="spellStart"/>
      <w:r w:rsidRPr="000E700A">
        <w:rPr>
          <w:sz w:val="24"/>
          <w:szCs w:val="24"/>
        </w:rPr>
        <w:t>izrada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upravljanje</w:t>
      </w:r>
      <w:proofErr w:type="spellEnd"/>
      <w:r w:rsidRPr="000E700A">
        <w:rPr>
          <w:sz w:val="24"/>
          <w:szCs w:val="24"/>
        </w:rPr>
        <w:t xml:space="preserve"> </w:t>
      </w:r>
      <w:proofErr w:type="spellStart"/>
      <w:r w:rsidRPr="000E700A">
        <w:rPr>
          <w:sz w:val="24"/>
          <w:szCs w:val="24"/>
        </w:rPr>
        <w:t>bazama</w:t>
      </w:r>
      <w:proofErr w:type="spellEnd"/>
      <w:r w:rsidRPr="000E700A">
        <w:rPr>
          <w:sz w:val="24"/>
          <w:szCs w:val="24"/>
        </w:rPr>
        <w:t xml:space="preserve"> </w:t>
      </w:r>
      <w:proofErr w:type="spellStart"/>
      <w:r w:rsidRPr="000E700A">
        <w:rPr>
          <w:sz w:val="24"/>
          <w:szCs w:val="24"/>
        </w:rPr>
        <w:t>podataka</w:t>
      </w:r>
      <w:proofErr w:type="spellEnd"/>
      <w:r w:rsidRPr="000E700A">
        <w:rPr>
          <w:sz w:val="24"/>
          <w:szCs w:val="24"/>
        </w:rPr>
        <w:t xml:space="preserve">, </w:t>
      </w:r>
      <w:proofErr w:type="spellStart"/>
      <w:r w:rsidRPr="000E700A">
        <w:rPr>
          <w:sz w:val="24"/>
          <w:szCs w:val="24"/>
        </w:rPr>
        <w:t>edukacija</w:t>
      </w:r>
      <w:proofErr w:type="spellEnd"/>
      <w:r w:rsidRPr="000E700A">
        <w:rPr>
          <w:sz w:val="24"/>
          <w:szCs w:val="24"/>
        </w:rPr>
        <w:t xml:space="preserve"> (</w:t>
      </w:r>
      <w:proofErr w:type="spellStart"/>
      <w:r w:rsidRPr="000E700A">
        <w:rPr>
          <w:sz w:val="24"/>
          <w:szCs w:val="24"/>
        </w:rPr>
        <w:t>obavljanje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organizacija</w:t>
      </w:r>
      <w:proofErr w:type="spellEnd"/>
      <w:r w:rsidRPr="000E700A">
        <w:rPr>
          <w:sz w:val="24"/>
          <w:szCs w:val="24"/>
        </w:rPr>
        <w:t xml:space="preserve"> </w:t>
      </w:r>
      <w:proofErr w:type="spellStart"/>
      <w:r w:rsidRPr="000E700A">
        <w:rPr>
          <w:sz w:val="24"/>
          <w:szCs w:val="24"/>
        </w:rPr>
        <w:t>edukativnih</w:t>
      </w:r>
      <w:proofErr w:type="spellEnd"/>
      <w:r w:rsidRPr="000E700A">
        <w:rPr>
          <w:sz w:val="24"/>
          <w:szCs w:val="24"/>
        </w:rPr>
        <w:t xml:space="preserve"> </w:t>
      </w:r>
      <w:proofErr w:type="spellStart"/>
      <w:r w:rsidRPr="000E700A">
        <w:rPr>
          <w:sz w:val="24"/>
          <w:szCs w:val="24"/>
        </w:rPr>
        <w:t>djelatnosti</w:t>
      </w:r>
      <w:proofErr w:type="spellEnd"/>
      <w:r w:rsidRPr="000E700A">
        <w:rPr>
          <w:sz w:val="24"/>
          <w:szCs w:val="24"/>
        </w:rPr>
        <w:t xml:space="preserve">), </w:t>
      </w:r>
      <w:proofErr w:type="spellStart"/>
      <w:r w:rsidRPr="000E700A">
        <w:rPr>
          <w:sz w:val="24"/>
          <w:szCs w:val="24"/>
        </w:rPr>
        <w:t>projektiranje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izgradnja</w:t>
      </w:r>
      <w:proofErr w:type="spellEnd"/>
      <w:r w:rsidRPr="000E700A">
        <w:rPr>
          <w:sz w:val="24"/>
          <w:szCs w:val="24"/>
        </w:rPr>
        <w:t xml:space="preserve"> u </w:t>
      </w:r>
      <w:proofErr w:type="spellStart"/>
      <w:r w:rsidRPr="000E700A">
        <w:rPr>
          <w:sz w:val="24"/>
          <w:szCs w:val="24"/>
        </w:rPr>
        <w:t>području</w:t>
      </w:r>
      <w:proofErr w:type="spellEnd"/>
      <w:r w:rsidRPr="000E700A">
        <w:rPr>
          <w:sz w:val="24"/>
          <w:szCs w:val="24"/>
        </w:rPr>
        <w:t xml:space="preserve"> </w:t>
      </w:r>
      <w:proofErr w:type="spellStart"/>
      <w:r w:rsidRPr="000E700A">
        <w:rPr>
          <w:sz w:val="24"/>
          <w:szCs w:val="24"/>
        </w:rPr>
        <w:t>informacijskih</w:t>
      </w:r>
      <w:proofErr w:type="spellEnd"/>
      <w:r w:rsidRPr="000E700A">
        <w:rPr>
          <w:sz w:val="24"/>
          <w:szCs w:val="24"/>
        </w:rPr>
        <w:t xml:space="preserve"> </w:t>
      </w:r>
      <w:proofErr w:type="spellStart"/>
      <w:r w:rsidRPr="000E700A">
        <w:rPr>
          <w:sz w:val="24"/>
          <w:szCs w:val="24"/>
        </w:rPr>
        <w:t>tehnologija</w:t>
      </w:r>
      <w:proofErr w:type="spellEnd"/>
      <w:r w:rsidRPr="000E700A">
        <w:rPr>
          <w:sz w:val="24"/>
          <w:szCs w:val="24"/>
        </w:rPr>
        <w:t xml:space="preserve">, </w:t>
      </w:r>
      <w:proofErr w:type="spellStart"/>
      <w:r w:rsidRPr="000E700A">
        <w:rPr>
          <w:sz w:val="24"/>
          <w:szCs w:val="24"/>
        </w:rPr>
        <w:t>projektiranje</w:t>
      </w:r>
      <w:proofErr w:type="spellEnd"/>
      <w:r w:rsidRPr="000E700A">
        <w:rPr>
          <w:sz w:val="24"/>
          <w:szCs w:val="24"/>
        </w:rPr>
        <w:t xml:space="preserve"> </w:t>
      </w:r>
      <w:proofErr w:type="spellStart"/>
      <w:r w:rsidRPr="000E700A">
        <w:rPr>
          <w:sz w:val="24"/>
          <w:szCs w:val="24"/>
        </w:rPr>
        <w:t>telekomunikacijskih</w:t>
      </w:r>
      <w:proofErr w:type="spellEnd"/>
      <w:r w:rsidRPr="000E700A">
        <w:rPr>
          <w:sz w:val="24"/>
          <w:szCs w:val="24"/>
        </w:rPr>
        <w:t xml:space="preserve"> </w:t>
      </w:r>
      <w:proofErr w:type="spellStart"/>
      <w:r w:rsidRPr="000E700A">
        <w:rPr>
          <w:sz w:val="24"/>
          <w:szCs w:val="24"/>
        </w:rPr>
        <w:t>sustava</w:t>
      </w:r>
      <w:proofErr w:type="spellEnd"/>
      <w:r w:rsidRPr="000E700A">
        <w:rPr>
          <w:sz w:val="24"/>
          <w:szCs w:val="24"/>
        </w:rPr>
        <w:t xml:space="preserve">. </w:t>
      </w:r>
      <w:proofErr w:type="spellStart"/>
      <w:r w:rsidRPr="000E700A">
        <w:rPr>
          <w:sz w:val="24"/>
          <w:szCs w:val="24"/>
        </w:rPr>
        <w:t>Osiguranje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napredne</w:t>
      </w:r>
      <w:proofErr w:type="spellEnd"/>
      <w:r w:rsidRPr="000E700A">
        <w:rPr>
          <w:sz w:val="24"/>
          <w:szCs w:val="24"/>
        </w:rPr>
        <w:t xml:space="preserve"> </w:t>
      </w:r>
      <w:proofErr w:type="spellStart"/>
      <w:r w:rsidRPr="000E700A">
        <w:rPr>
          <w:sz w:val="24"/>
          <w:szCs w:val="24"/>
        </w:rPr>
        <w:t>informacijsko-komunikacijske</w:t>
      </w:r>
      <w:proofErr w:type="spellEnd"/>
      <w:r w:rsidRPr="000E700A">
        <w:rPr>
          <w:sz w:val="24"/>
          <w:szCs w:val="24"/>
        </w:rPr>
        <w:t xml:space="preserve"> </w:t>
      </w:r>
      <w:proofErr w:type="spellStart"/>
      <w:r w:rsidRPr="000E700A">
        <w:rPr>
          <w:sz w:val="24"/>
          <w:szCs w:val="24"/>
        </w:rPr>
        <w:t>infrastrukture</w:t>
      </w:r>
      <w:proofErr w:type="spellEnd"/>
      <w:r w:rsidRPr="000E700A">
        <w:rPr>
          <w:sz w:val="24"/>
          <w:szCs w:val="24"/>
        </w:rPr>
        <w:t xml:space="preserve"> za </w:t>
      </w:r>
      <w:proofErr w:type="spellStart"/>
      <w:r w:rsidRPr="000E700A">
        <w:rPr>
          <w:sz w:val="24"/>
          <w:szCs w:val="24"/>
        </w:rPr>
        <w:t>akademsku</w:t>
      </w:r>
      <w:proofErr w:type="spellEnd"/>
      <w:r w:rsidRPr="000E700A">
        <w:rPr>
          <w:sz w:val="24"/>
          <w:szCs w:val="24"/>
        </w:rPr>
        <w:t xml:space="preserve">, </w:t>
      </w:r>
      <w:proofErr w:type="spellStart"/>
      <w:r w:rsidRPr="000E700A">
        <w:rPr>
          <w:sz w:val="24"/>
          <w:szCs w:val="24"/>
        </w:rPr>
        <w:t>istraživačku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obrazovnu</w:t>
      </w:r>
      <w:proofErr w:type="spellEnd"/>
      <w:r w:rsidRPr="000E700A">
        <w:rPr>
          <w:sz w:val="24"/>
          <w:szCs w:val="24"/>
        </w:rPr>
        <w:t xml:space="preserve"> </w:t>
      </w:r>
      <w:proofErr w:type="spellStart"/>
      <w:r w:rsidRPr="000E700A">
        <w:rPr>
          <w:sz w:val="24"/>
          <w:szCs w:val="24"/>
        </w:rPr>
        <w:t>zajednicu</w:t>
      </w:r>
      <w:proofErr w:type="spellEnd"/>
      <w:r w:rsidRPr="000E700A">
        <w:rPr>
          <w:sz w:val="24"/>
          <w:szCs w:val="24"/>
        </w:rPr>
        <w:t xml:space="preserve">, </w:t>
      </w:r>
      <w:proofErr w:type="spellStart"/>
      <w:r w:rsidRPr="000E700A">
        <w:rPr>
          <w:sz w:val="24"/>
          <w:szCs w:val="24"/>
        </w:rPr>
        <w:t>uključujući</w:t>
      </w:r>
      <w:proofErr w:type="spellEnd"/>
      <w:r w:rsidRPr="000E700A">
        <w:rPr>
          <w:sz w:val="24"/>
          <w:szCs w:val="24"/>
        </w:rPr>
        <w:t xml:space="preserve"> </w:t>
      </w:r>
      <w:proofErr w:type="spellStart"/>
      <w:r w:rsidRPr="000E700A">
        <w:rPr>
          <w:sz w:val="24"/>
          <w:szCs w:val="24"/>
        </w:rPr>
        <w:t>brzu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sigurnu</w:t>
      </w:r>
      <w:proofErr w:type="spellEnd"/>
      <w:r w:rsidRPr="000E700A">
        <w:rPr>
          <w:sz w:val="24"/>
          <w:szCs w:val="24"/>
        </w:rPr>
        <w:t xml:space="preserve"> </w:t>
      </w:r>
      <w:proofErr w:type="spellStart"/>
      <w:r w:rsidRPr="000E700A">
        <w:rPr>
          <w:sz w:val="24"/>
          <w:szCs w:val="24"/>
        </w:rPr>
        <w:t>mrežu</w:t>
      </w:r>
      <w:proofErr w:type="spellEnd"/>
      <w:r w:rsidRPr="000E700A">
        <w:rPr>
          <w:sz w:val="24"/>
          <w:szCs w:val="24"/>
        </w:rPr>
        <w:t xml:space="preserve">, </w:t>
      </w:r>
      <w:proofErr w:type="spellStart"/>
      <w:r w:rsidRPr="000E700A">
        <w:rPr>
          <w:sz w:val="24"/>
          <w:szCs w:val="24"/>
        </w:rPr>
        <w:t>raznovrsne</w:t>
      </w:r>
      <w:proofErr w:type="spellEnd"/>
      <w:r w:rsidRPr="000E700A">
        <w:rPr>
          <w:sz w:val="24"/>
          <w:szCs w:val="24"/>
        </w:rPr>
        <w:t xml:space="preserve"> </w:t>
      </w:r>
      <w:proofErr w:type="spellStart"/>
      <w:r w:rsidRPr="000E700A">
        <w:rPr>
          <w:sz w:val="24"/>
          <w:szCs w:val="24"/>
        </w:rPr>
        <w:t>sadržaje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usluge</w:t>
      </w:r>
      <w:proofErr w:type="spellEnd"/>
      <w:r w:rsidRPr="000E700A">
        <w:rPr>
          <w:sz w:val="24"/>
          <w:szCs w:val="24"/>
        </w:rPr>
        <w:t xml:space="preserve">. </w:t>
      </w:r>
      <w:proofErr w:type="spellStart"/>
      <w:r w:rsidRPr="000E700A">
        <w:rPr>
          <w:sz w:val="24"/>
          <w:szCs w:val="24"/>
        </w:rPr>
        <w:t>Povezivanje</w:t>
      </w:r>
      <w:proofErr w:type="spellEnd"/>
      <w:r w:rsidRPr="000E700A">
        <w:rPr>
          <w:sz w:val="24"/>
          <w:szCs w:val="24"/>
        </w:rPr>
        <w:t xml:space="preserve"> </w:t>
      </w:r>
      <w:proofErr w:type="spellStart"/>
      <w:r w:rsidRPr="000E700A">
        <w:rPr>
          <w:sz w:val="24"/>
          <w:szCs w:val="24"/>
        </w:rPr>
        <w:t>svih</w:t>
      </w:r>
      <w:proofErr w:type="spellEnd"/>
      <w:r w:rsidRPr="000E700A">
        <w:rPr>
          <w:sz w:val="24"/>
          <w:szCs w:val="24"/>
        </w:rPr>
        <w:t xml:space="preserve"> </w:t>
      </w:r>
      <w:proofErr w:type="spellStart"/>
      <w:r w:rsidRPr="000E700A">
        <w:rPr>
          <w:sz w:val="24"/>
          <w:szCs w:val="24"/>
        </w:rPr>
        <w:t>hrvatskih</w:t>
      </w:r>
      <w:proofErr w:type="spellEnd"/>
      <w:r w:rsidRPr="000E700A">
        <w:rPr>
          <w:sz w:val="24"/>
          <w:szCs w:val="24"/>
        </w:rPr>
        <w:t xml:space="preserve"> </w:t>
      </w:r>
      <w:proofErr w:type="spellStart"/>
      <w:r w:rsidRPr="000E700A">
        <w:rPr>
          <w:sz w:val="24"/>
          <w:szCs w:val="24"/>
        </w:rPr>
        <w:t>akademskih</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znanstvenih</w:t>
      </w:r>
      <w:proofErr w:type="spellEnd"/>
      <w:r w:rsidRPr="000E700A">
        <w:rPr>
          <w:sz w:val="24"/>
          <w:szCs w:val="24"/>
        </w:rPr>
        <w:t xml:space="preserve"> </w:t>
      </w:r>
      <w:proofErr w:type="spellStart"/>
      <w:r w:rsidRPr="000E700A">
        <w:rPr>
          <w:sz w:val="24"/>
          <w:szCs w:val="24"/>
        </w:rPr>
        <w:t>ustanova</w:t>
      </w:r>
      <w:proofErr w:type="spellEnd"/>
      <w:r w:rsidRPr="000E700A">
        <w:rPr>
          <w:sz w:val="24"/>
          <w:szCs w:val="24"/>
        </w:rPr>
        <w:t xml:space="preserve"> </w:t>
      </w:r>
      <w:proofErr w:type="spellStart"/>
      <w:r w:rsidRPr="000E700A">
        <w:rPr>
          <w:sz w:val="24"/>
          <w:szCs w:val="24"/>
        </w:rPr>
        <w:t>te</w:t>
      </w:r>
      <w:proofErr w:type="spellEnd"/>
      <w:r w:rsidRPr="000E700A">
        <w:rPr>
          <w:sz w:val="24"/>
          <w:szCs w:val="24"/>
        </w:rPr>
        <w:t xml:space="preserve"> </w:t>
      </w:r>
      <w:proofErr w:type="spellStart"/>
      <w:r w:rsidRPr="000E700A">
        <w:rPr>
          <w:sz w:val="24"/>
          <w:szCs w:val="24"/>
        </w:rPr>
        <w:t>svih</w:t>
      </w:r>
      <w:proofErr w:type="spellEnd"/>
      <w:r w:rsidRPr="000E700A">
        <w:rPr>
          <w:sz w:val="24"/>
          <w:szCs w:val="24"/>
        </w:rPr>
        <w:t xml:space="preserve"> </w:t>
      </w:r>
      <w:proofErr w:type="spellStart"/>
      <w:r w:rsidRPr="000E700A">
        <w:rPr>
          <w:sz w:val="24"/>
          <w:szCs w:val="24"/>
        </w:rPr>
        <w:t>osnovnih</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srednjih</w:t>
      </w:r>
      <w:proofErr w:type="spellEnd"/>
      <w:r w:rsidRPr="000E700A">
        <w:rPr>
          <w:sz w:val="24"/>
          <w:szCs w:val="24"/>
        </w:rPr>
        <w:t xml:space="preserve"> </w:t>
      </w:r>
      <w:proofErr w:type="spellStart"/>
      <w:r w:rsidRPr="000E700A">
        <w:rPr>
          <w:sz w:val="24"/>
          <w:szCs w:val="24"/>
        </w:rPr>
        <w:t>škola</w:t>
      </w:r>
      <w:proofErr w:type="spellEnd"/>
      <w:r w:rsidRPr="000E700A">
        <w:rPr>
          <w:sz w:val="24"/>
          <w:szCs w:val="24"/>
        </w:rPr>
        <w:t xml:space="preserve"> u </w:t>
      </w:r>
      <w:proofErr w:type="spellStart"/>
      <w:r w:rsidRPr="000E700A">
        <w:rPr>
          <w:sz w:val="24"/>
          <w:szCs w:val="24"/>
        </w:rPr>
        <w:t>zajedničku</w:t>
      </w:r>
      <w:proofErr w:type="spellEnd"/>
      <w:r w:rsidRPr="000E700A">
        <w:rPr>
          <w:sz w:val="24"/>
          <w:szCs w:val="24"/>
        </w:rPr>
        <w:t xml:space="preserve"> </w:t>
      </w:r>
      <w:proofErr w:type="spellStart"/>
      <w:r w:rsidRPr="000E700A">
        <w:rPr>
          <w:sz w:val="24"/>
          <w:szCs w:val="24"/>
        </w:rPr>
        <w:t>komunikacijsku</w:t>
      </w:r>
      <w:proofErr w:type="spellEnd"/>
      <w:r w:rsidRPr="000E700A">
        <w:rPr>
          <w:sz w:val="24"/>
          <w:szCs w:val="24"/>
        </w:rPr>
        <w:t xml:space="preserve"> </w:t>
      </w:r>
      <w:proofErr w:type="spellStart"/>
      <w:r w:rsidRPr="000E700A">
        <w:rPr>
          <w:sz w:val="24"/>
          <w:szCs w:val="24"/>
        </w:rPr>
        <w:t>mrežu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Internet. </w:t>
      </w:r>
      <w:proofErr w:type="spellStart"/>
      <w:r w:rsidRPr="000E700A">
        <w:rPr>
          <w:sz w:val="24"/>
          <w:szCs w:val="24"/>
        </w:rPr>
        <w:t>Izgradnja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održavanje</w:t>
      </w:r>
      <w:proofErr w:type="spellEnd"/>
      <w:r w:rsidRPr="000E700A">
        <w:rPr>
          <w:sz w:val="24"/>
          <w:szCs w:val="24"/>
        </w:rPr>
        <w:t xml:space="preserve"> </w:t>
      </w:r>
      <w:proofErr w:type="spellStart"/>
      <w:r w:rsidRPr="000E700A">
        <w:rPr>
          <w:sz w:val="24"/>
          <w:szCs w:val="24"/>
        </w:rPr>
        <w:t>većeg</w:t>
      </w:r>
      <w:proofErr w:type="spellEnd"/>
      <w:r w:rsidRPr="000E700A">
        <w:rPr>
          <w:sz w:val="24"/>
          <w:szCs w:val="24"/>
        </w:rPr>
        <w:t xml:space="preserve"> </w:t>
      </w:r>
      <w:proofErr w:type="spellStart"/>
      <w:r w:rsidRPr="000E700A">
        <w:rPr>
          <w:sz w:val="24"/>
          <w:szCs w:val="24"/>
        </w:rPr>
        <w:t>broja</w:t>
      </w:r>
      <w:proofErr w:type="spellEnd"/>
      <w:r w:rsidRPr="000E700A">
        <w:rPr>
          <w:sz w:val="24"/>
          <w:szCs w:val="24"/>
        </w:rPr>
        <w:t xml:space="preserve"> </w:t>
      </w:r>
      <w:proofErr w:type="spellStart"/>
      <w:r w:rsidRPr="000E700A">
        <w:rPr>
          <w:sz w:val="24"/>
          <w:szCs w:val="24"/>
        </w:rPr>
        <w:t>servisa</w:t>
      </w:r>
      <w:proofErr w:type="spellEnd"/>
      <w:r w:rsidRPr="000E700A">
        <w:rPr>
          <w:sz w:val="24"/>
          <w:szCs w:val="24"/>
        </w:rPr>
        <w:t xml:space="preserve"> koji </w:t>
      </w:r>
      <w:proofErr w:type="spellStart"/>
      <w:r w:rsidRPr="000E700A">
        <w:rPr>
          <w:sz w:val="24"/>
          <w:szCs w:val="24"/>
        </w:rPr>
        <w:t>koriste</w:t>
      </w:r>
      <w:proofErr w:type="spellEnd"/>
      <w:r w:rsidRPr="000E700A">
        <w:rPr>
          <w:sz w:val="24"/>
          <w:szCs w:val="24"/>
        </w:rPr>
        <w:t xml:space="preserve"> </w:t>
      </w:r>
      <w:proofErr w:type="spellStart"/>
      <w:r w:rsidRPr="000E700A">
        <w:rPr>
          <w:sz w:val="24"/>
          <w:szCs w:val="24"/>
        </w:rPr>
        <w:t>ovako</w:t>
      </w:r>
      <w:proofErr w:type="spellEnd"/>
      <w:r w:rsidRPr="000E700A">
        <w:rPr>
          <w:sz w:val="24"/>
          <w:szCs w:val="24"/>
        </w:rPr>
        <w:t xml:space="preserve"> </w:t>
      </w:r>
      <w:proofErr w:type="spellStart"/>
      <w:r w:rsidRPr="000E700A">
        <w:rPr>
          <w:sz w:val="24"/>
          <w:szCs w:val="24"/>
        </w:rPr>
        <w:t>uspostavljenu</w:t>
      </w:r>
      <w:proofErr w:type="spellEnd"/>
      <w:r w:rsidRPr="000E700A">
        <w:rPr>
          <w:sz w:val="24"/>
          <w:szCs w:val="24"/>
        </w:rPr>
        <w:t xml:space="preserve"> </w:t>
      </w:r>
      <w:proofErr w:type="spellStart"/>
      <w:r w:rsidRPr="000E700A">
        <w:rPr>
          <w:sz w:val="24"/>
          <w:szCs w:val="24"/>
        </w:rPr>
        <w:t>mrežnu</w:t>
      </w:r>
      <w:proofErr w:type="spellEnd"/>
      <w:r w:rsidRPr="000E700A">
        <w:rPr>
          <w:sz w:val="24"/>
          <w:szCs w:val="24"/>
        </w:rPr>
        <w:t xml:space="preserve"> </w:t>
      </w:r>
      <w:proofErr w:type="spellStart"/>
      <w:r w:rsidRPr="000E700A">
        <w:rPr>
          <w:sz w:val="24"/>
          <w:szCs w:val="24"/>
        </w:rPr>
        <w:t>povezanost</w:t>
      </w:r>
      <w:proofErr w:type="spellEnd"/>
      <w:r w:rsidRPr="000E700A">
        <w:rPr>
          <w:sz w:val="24"/>
          <w:szCs w:val="24"/>
        </w:rPr>
        <w:t xml:space="preserve">. </w:t>
      </w:r>
    </w:p>
    <w:p w14:paraId="1A7D373B" w14:textId="77777777" w:rsidR="003F5CC5" w:rsidRPr="000E700A" w:rsidRDefault="003F5CC5" w:rsidP="003F5CC5">
      <w:pPr>
        <w:spacing w:line="360" w:lineRule="auto"/>
        <w:jc w:val="both"/>
        <w:rPr>
          <w:sz w:val="24"/>
          <w:szCs w:val="24"/>
        </w:rPr>
      </w:pPr>
      <w:r w:rsidRPr="000E700A">
        <w:rPr>
          <w:sz w:val="24"/>
          <w:szCs w:val="24"/>
        </w:rPr>
        <w:t xml:space="preserve">Pod </w:t>
      </w:r>
      <w:proofErr w:type="spellStart"/>
      <w:r w:rsidRPr="000E700A">
        <w:rPr>
          <w:sz w:val="24"/>
          <w:szCs w:val="24"/>
        </w:rPr>
        <w:t>razvojem</w:t>
      </w:r>
      <w:proofErr w:type="spellEnd"/>
      <w:r w:rsidRPr="000E700A">
        <w:rPr>
          <w:sz w:val="24"/>
          <w:szCs w:val="24"/>
        </w:rPr>
        <w:t xml:space="preserve"> </w:t>
      </w:r>
      <w:proofErr w:type="spellStart"/>
      <w:r w:rsidRPr="000E700A">
        <w:rPr>
          <w:sz w:val="24"/>
          <w:szCs w:val="24"/>
        </w:rPr>
        <w:t>informacijsko</w:t>
      </w:r>
      <w:proofErr w:type="spellEnd"/>
      <w:r w:rsidRPr="000E700A">
        <w:rPr>
          <w:sz w:val="24"/>
          <w:szCs w:val="24"/>
        </w:rPr>
        <w:t xml:space="preserve"> - </w:t>
      </w:r>
      <w:proofErr w:type="spellStart"/>
      <w:r w:rsidRPr="000E700A">
        <w:rPr>
          <w:sz w:val="24"/>
          <w:szCs w:val="24"/>
        </w:rPr>
        <w:t>komunikacijske</w:t>
      </w:r>
      <w:proofErr w:type="spellEnd"/>
      <w:r w:rsidRPr="000E700A">
        <w:rPr>
          <w:sz w:val="24"/>
          <w:szCs w:val="24"/>
        </w:rPr>
        <w:t xml:space="preserve"> </w:t>
      </w:r>
      <w:proofErr w:type="spellStart"/>
      <w:r w:rsidRPr="000E700A">
        <w:rPr>
          <w:sz w:val="24"/>
          <w:szCs w:val="24"/>
        </w:rPr>
        <w:t>infrastrukture</w:t>
      </w:r>
      <w:proofErr w:type="spellEnd"/>
      <w:r w:rsidRPr="000E700A">
        <w:rPr>
          <w:sz w:val="24"/>
          <w:szCs w:val="24"/>
        </w:rPr>
        <w:t xml:space="preserve"> </w:t>
      </w:r>
      <w:proofErr w:type="spellStart"/>
      <w:r w:rsidRPr="000E700A">
        <w:rPr>
          <w:sz w:val="24"/>
          <w:szCs w:val="24"/>
        </w:rPr>
        <w:t>podrazumijeva</w:t>
      </w:r>
      <w:proofErr w:type="spellEnd"/>
      <w:r w:rsidRPr="000E700A">
        <w:rPr>
          <w:sz w:val="24"/>
          <w:szCs w:val="24"/>
        </w:rPr>
        <w:t xml:space="preserve"> se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sljedećih</w:t>
      </w:r>
      <w:proofErr w:type="spellEnd"/>
      <w:r w:rsidRPr="000E700A">
        <w:rPr>
          <w:sz w:val="24"/>
          <w:szCs w:val="24"/>
        </w:rPr>
        <w:t xml:space="preserve"> </w:t>
      </w:r>
      <w:proofErr w:type="spellStart"/>
      <w:r w:rsidRPr="000E700A">
        <w:rPr>
          <w:sz w:val="24"/>
          <w:szCs w:val="24"/>
        </w:rPr>
        <w:t>komponenti</w:t>
      </w:r>
      <w:proofErr w:type="spellEnd"/>
      <w:r w:rsidRPr="000E700A">
        <w:rPr>
          <w:sz w:val="24"/>
          <w:szCs w:val="24"/>
        </w:rPr>
        <w:t xml:space="preserve"> </w:t>
      </w:r>
      <w:proofErr w:type="spellStart"/>
      <w:r w:rsidRPr="000E700A">
        <w:rPr>
          <w:sz w:val="24"/>
          <w:szCs w:val="24"/>
        </w:rPr>
        <w:t>infrastrukture</w:t>
      </w:r>
      <w:proofErr w:type="spellEnd"/>
      <w:r w:rsidRPr="000E700A">
        <w:rPr>
          <w:sz w:val="24"/>
          <w:szCs w:val="24"/>
        </w:rPr>
        <w:t xml:space="preserve">: </w:t>
      </w:r>
      <w:proofErr w:type="spellStart"/>
      <w:r w:rsidRPr="000E700A">
        <w:rPr>
          <w:sz w:val="24"/>
          <w:szCs w:val="24"/>
        </w:rPr>
        <w:t>nacionalna</w:t>
      </w:r>
      <w:proofErr w:type="spellEnd"/>
      <w:r w:rsidRPr="000E700A">
        <w:rPr>
          <w:sz w:val="24"/>
          <w:szCs w:val="24"/>
        </w:rPr>
        <w:t xml:space="preserve"> </w:t>
      </w:r>
      <w:proofErr w:type="spellStart"/>
      <w:r w:rsidRPr="000E700A">
        <w:rPr>
          <w:sz w:val="24"/>
          <w:szCs w:val="24"/>
        </w:rPr>
        <w:t>obrazovna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istraživačka</w:t>
      </w:r>
      <w:proofErr w:type="spellEnd"/>
      <w:r w:rsidRPr="000E700A">
        <w:rPr>
          <w:sz w:val="24"/>
          <w:szCs w:val="24"/>
        </w:rPr>
        <w:t xml:space="preserve"> </w:t>
      </w:r>
      <w:proofErr w:type="spellStart"/>
      <w:r w:rsidRPr="000E700A">
        <w:rPr>
          <w:sz w:val="24"/>
          <w:szCs w:val="24"/>
        </w:rPr>
        <w:t>računalno-komunikacijska</w:t>
      </w:r>
      <w:proofErr w:type="spellEnd"/>
      <w:r w:rsidRPr="000E700A">
        <w:rPr>
          <w:sz w:val="24"/>
          <w:szCs w:val="24"/>
        </w:rPr>
        <w:t xml:space="preserve"> </w:t>
      </w:r>
      <w:proofErr w:type="spellStart"/>
      <w:r w:rsidRPr="000E700A">
        <w:rPr>
          <w:sz w:val="24"/>
          <w:szCs w:val="24"/>
        </w:rPr>
        <w:lastRenderedPageBreak/>
        <w:t>mreža</w:t>
      </w:r>
      <w:proofErr w:type="spellEnd"/>
      <w:r w:rsidRPr="000E700A">
        <w:rPr>
          <w:sz w:val="24"/>
          <w:szCs w:val="24"/>
        </w:rPr>
        <w:t xml:space="preserve">, </w:t>
      </w:r>
      <w:proofErr w:type="spellStart"/>
      <w:r w:rsidRPr="000E700A">
        <w:rPr>
          <w:sz w:val="24"/>
          <w:szCs w:val="24"/>
        </w:rPr>
        <w:t>povezivanje</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internet, </w:t>
      </w:r>
      <w:proofErr w:type="spellStart"/>
      <w:r w:rsidRPr="000E700A">
        <w:rPr>
          <w:sz w:val="24"/>
          <w:szCs w:val="24"/>
        </w:rPr>
        <w:t>računalno-komunikacijski</w:t>
      </w:r>
      <w:proofErr w:type="spellEnd"/>
      <w:r w:rsidRPr="000E700A">
        <w:rPr>
          <w:sz w:val="24"/>
          <w:szCs w:val="24"/>
        </w:rPr>
        <w:t xml:space="preserve"> </w:t>
      </w:r>
      <w:proofErr w:type="spellStart"/>
      <w:r w:rsidRPr="000E700A">
        <w:rPr>
          <w:sz w:val="24"/>
          <w:szCs w:val="24"/>
        </w:rPr>
        <w:t>resursi</w:t>
      </w:r>
      <w:proofErr w:type="spellEnd"/>
      <w:r w:rsidRPr="000E700A">
        <w:rPr>
          <w:sz w:val="24"/>
          <w:szCs w:val="24"/>
        </w:rPr>
        <w:t xml:space="preserve">, </w:t>
      </w:r>
      <w:proofErr w:type="spellStart"/>
      <w:r w:rsidRPr="000E700A">
        <w:rPr>
          <w:sz w:val="24"/>
          <w:szCs w:val="24"/>
        </w:rPr>
        <w:t>informacijski</w:t>
      </w:r>
      <w:proofErr w:type="spellEnd"/>
      <w:r w:rsidRPr="000E700A">
        <w:rPr>
          <w:sz w:val="24"/>
          <w:szCs w:val="24"/>
        </w:rPr>
        <w:t xml:space="preserve"> </w:t>
      </w:r>
      <w:proofErr w:type="spellStart"/>
      <w:r w:rsidRPr="000E700A">
        <w:rPr>
          <w:sz w:val="24"/>
          <w:szCs w:val="24"/>
        </w:rPr>
        <w:t>sustavi</w:t>
      </w:r>
      <w:proofErr w:type="spellEnd"/>
      <w:r w:rsidRPr="000E700A">
        <w:rPr>
          <w:sz w:val="24"/>
          <w:szCs w:val="24"/>
        </w:rPr>
        <w:t xml:space="preserve"> u </w:t>
      </w:r>
      <w:proofErr w:type="spellStart"/>
      <w:r w:rsidRPr="000E700A">
        <w:rPr>
          <w:sz w:val="24"/>
          <w:szCs w:val="24"/>
        </w:rPr>
        <w:t>obrazovanju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znanosti</w:t>
      </w:r>
      <w:proofErr w:type="spellEnd"/>
      <w:r w:rsidRPr="000E700A">
        <w:rPr>
          <w:sz w:val="24"/>
          <w:szCs w:val="24"/>
        </w:rPr>
        <w:t xml:space="preserve">, </w:t>
      </w:r>
      <w:proofErr w:type="spellStart"/>
      <w:r w:rsidRPr="000E700A">
        <w:rPr>
          <w:sz w:val="24"/>
          <w:szCs w:val="24"/>
        </w:rPr>
        <w:t>sigurno</w:t>
      </w:r>
      <w:proofErr w:type="spellEnd"/>
      <w:r w:rsidRPr="000E700A">
        <w:rPr>
          <w:sz w:val="24"/>
          <w:szCs w:val="24"/>
        </w:rPr>
        <w:t xml:space="preserve"> </w:t>
      </w:r>
      <w:proofErr w:type="spellStart"/>
      <w:r w:rsidRPr="000E700A">
        <w:rPr>
          <w:sz w:val="24"/>
          <w:szCs w:val="24"/>
        </w:rPr>
        <w:t>korištenje</w:t>
      </w:r>
      <w:proofErr w:type="spellEnd"/>
      <w:r w:rsidRPr="000E700A">
        <w:rPr>
          <w:sz w:val="24"/>
          <w:szCs w:val="24"/>
        </w:rPr>
        <w:t xml:space="preserve"> </w:t>
      </w:r>
      <w:proofErr w:type="spellStart"/>
      <w:r w:rsidRPr="000E700A">
        <w:rPr>
          <w:sz w:val="24"/>
          <w:szCs w:val="24"/>
        </w:rPr>
        <w:t>interneta</w:t>
      </w:r>
      <w:proofErr w:type="spellEnd"/>
      <w:r w:rsidRPr="000E700A">
        <w:rPr>
          <w:sz w:val="24"/>
          <w:szCs w:val="24"/>
        </w:rPr>
        <w:t xml:space="preserve">. </w:t>
      </w:r>
    </w:p>
    <w:p w14:paraId="05F0C770" w14:textId="77777777" w:rsidR="00844835" w:rsidRPr="000E700A" w:rsidRDefault="00844835" w:rsidP="003F5CC5">
      <w:pPr>
        <w:spacing w:line="360" w:lineRule="auto"/>
        <w:jc w:val="both"/>
        <w:rPr>
          <w:sz w:val="24"/>
          <w:szCs w:val="24"/>
        </w:rPr>
      </w:pPr>
    </w:p>
    <w:p w14:paraId="50BC822A" w14:textId="153ABAD4" w:rsidR="003F5CC5" w:rsidRPr="000E700A" w:rsidRDefault="003F5CC5" w:rsidP="003F5CC5">
      <w:pPr>
        <w:spacing w:line="360" w:lineRule="auto"/>
        <w:jc w:val="both"/>
        <w:rPr>
          <w:sz w:val="24"/>
          <w:szCs w:val="24"/>
        </w:rPr>
      </w:pPr>
      <w:proofErr w:type="spellStart"/>
      <w:r w:rsidRPr="000E700A">
        <w:rPr>
          <w:sz w:val="24"/>
          <w:szCs w:val="24"/>
        </w:rPr>
        <w:t>Potencijali</w:t>
      </w:r>
      <w:proofErr w:type="spellEnd"/>
      <w:r w:rsidRPr="000E700A">
        <w:rPr>
          <w:sz w:val="24"/>
          <w:szCs w:val="24"/>
        </w:rPr>
        <w:t xml:space="preserve"> </w:t>
      </w:r>
      <w:proofErr w:type="spellStart"/>
      <w:r w:rsidRPr="000E700A">
        <w:rPr>
          <w:sz w:val="24"/>
          <w:szCs w:val="24"/>
        </w:rPr>
        <w:t>informacijsko-komunikacijske</w:t>
      </w:r>
      <w:proofErr w:type="spellEnd"/>
      <w:r w:rsidRPr="000E700A">
        <w:rPr>
          <w:sz w:val="24"/>
          <w:szCs w:val="24"/>
        </w:rPr>
        <w:t xml:space="preserve"> </w:t>
      </w:r>
      <w:proofErr w:type="spellStart"/>
      <w:r w:rsidRPr="000E700A">
        <w:rPr>
          <w:sz w:val="24"/>
          <w:szCs w:val="24"/>
        </w:rPr>
        <w:t>tehnologije</w:t>
      </w:r>
      <w:proofErr w:type="spellEnd"/>
      <w:r w:rsidRPr="000E700A">
        <w:rPr>
          <w:sz w:val="24"/>
          <w:szCs w:val="24"/>
        </w:rPr>
        <w:t xml:space="preserve"> (IKT) </w:t>
      </w:r>
      <w:proofErr w:type="spellStart"/>
      <w:r w:rsidRPr="000E700A">
        <w:rPr>
          <w:sz w:val="24"/>
          <w:szCs w:val="24"/>
        </w:rPr>
        <w:t>koriste</w:t>
      </w:r>
      <w:proofErr w:type="spellEnd"/>
      <w:r w:rsidRPr="000E700A">
        <w:rPr>
          <w:sz w:val="24"/>
          <w:szCs w:val="24"/>
        </w:rPr>
        <w:t xml:space="preserve"> se za </w:t>
      </w:r>
      <w:proofErr w:type="spellStart"/>
      <w:r w:rsidRPr="000E700A">
        <w:rPr>
          <w:sz w:val="24"/>
          <w:szCs w:val="24"/>
        </w:rPr>
        <w:t>unapređenje</w:t>
      </w:r>
      <w:proofErr w:type="spellEnd"/>
      <w:r w:rsidRPr="000E700A">
        <w:rPr>
          <w:sz w:val="24"/>
          <w:szCs w:val="24"/>
        </w:rPr>
        <w:t xml:space="preserve"> </w:t>
      </w:r>
      <w:proofErr w:type="spellStart"/>
      <w:r w:rsidRPr="000E700A">
        <w:rPr>
          <w:sz w:val="24"/>
          <w:szCs w:val="24"/>
        </w:rPr>
        <w:t>poslovnih</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nastavnih</w:t>
      </w:r>
      <w:proofErr w:type="spellEnd"/>
      <w:r w:rsidRPr="000E700A">
        <w:rPr>
          <w:sz w:val="24"/>
          <w:szCs w:val="24"/>
        </w:rPr>
        <w:t xml:space="preserve"> </w:t>
      </w:r>
      <w:proofErr w:type="spellStart"/>
      <w:r w:rsidRPr="000E700A">
        <w:rPr>
          <w:sz w:val="24"/>
          <w:szCs w:val="24"/>
        </w:rPr>
        <w:t>procesa</w:t>
      </w:r>
      <w:proofErr w:type="spellEnd"/>
      <w:r w:rsidRPr="000E700A">
        <w:rPr>
          <w:sz w:val="24"/>
          <w:szCs w:val="24"/>
        </w:rPr>
        <w:t xml:space="preserve"> u </w:t>
      </w:r>
      <w:proofErr w:type="spellStart"/>
      <w:r w:rsidRPr="000E700A">
        <w:rPr>
          <w:sz w:val="24"/>
          <w:szCs w:val="24"/>
        </w:rPr>
        <w:t>osnovnim</w:t>
      </w:r>
      <w:proofErr w:type="spellEnd"/>
      <w:r w:rsidRPr="000E700A">
        <w:rPr>
          <w:sz w:val="24"/>
          <w:szCs w:val="24"/>
        </w:rPr>
        <w:t xml:space="preserve"> i </w:t>
      </w:r>
      <w:proofErr w:type="spellStart"/>
      <w:r w:rsidRPr="000E700A">
        <w:rPr>
          <w:sz w:val="24"/>
          <w:szCs w:val="24"/>
        </w:rPr>
        <w:t>srednjim</w:t>
      </w:r>
      <w:proofErr w:type="spellEnd"/>
      <w:r w:rsidRPr="000E700A">
        <w:rPr>
          <w:sz w:val="24"/>
          <w:szCs w:val="24"/>
        </w:rPr>
        <w:t xml:space="preserve"> </w:t>
      </w:r>
      <w:proofErr w:type="spellStart"/>
      <w:r w:rsidRPr="000E700A">
        <w:rPr>
          <w:sz w:val="24"/>
          <w:szCs w:val="24"/>
        </w:rPr>
        <w:t>školama</w:t>
      </w:r>
      <w:proofErr w:type="spellEnd"/>
      <w:r w:rsidRPr="000E700A">
        <w:rPr>
          <w:sz w:val="24"/>
          <w:szCs w:val="24"/>
        </w:rPr>
        <w:t xml:space="preserve">, s </w:t>
      </w:r>
      <w:proofErr w:type="spellStart"/>
      <w:r w:rsidRPr="000E700A">
        <w:rPr>
          <w:sz w:val="24"/>
          <w:szCs w:val="24"/>
        </w:rPr>
        <w:t>konačnim</w:t>
      </w:r>
      <w:proofErr w:type="spellEnd"/>
      <w:r w:rsidRPr="000E700A">
        <w:rPr>
          <w:sz w:val="24"/>
          <w:szCs w:val="24"/>
        </w:rPr>
        <w:t xml:space="preserve"> </w:t>
      </w:r>
      <w:proofErr w:type="spellStart"/>
      <w:r w:rsidRPr="000E700A">
        <w:rPr>
          <w:sz w:val="24"/>
          <w:szCs w:val="24"/>
        </w:rPr>
        <w:t>ciljem</w:t>
      </w:r>
      <w:proofErr w:type="spellEnd"/>
      <w:r w:rsidRPr="000E700A">
        <w:rPr>
          <w:sz w:val="24"/>
          <w:szCs w:val="24"/>
        </w:rPr>
        <w:t xml:space="preserve"> </w:t>
      </w:r>
      <w:proofErr w:type="spellStart"/>
      <w:r w:rsidRPr="000E700A">
        <w:rPr>
          <w:sz w:val="24"/>
          <w:szCs w:val="24"/>
        </w:rPr>
        <w:t>stvaranja</w:t>
      </w:r>
      <w:proofErr w:type="spellEnd"/>
      <w:r w:rsidRPr="000E700A">
        <w:rPr>
          <w:sz w:val="24"/>
          <w:szCs w:val="24"/>
        </w:rPr>
        <w:t xml:space="preserve"> </w:t>
      </w:r>
      <w:proofErr w:type="spellStart"/>
      <w:r w:rsidRPr="000E700A">
        <w:rPr>
          <w:sz w:val="24"/>
          <w:szCs w:val="24"/>
        </w:rPr>
        <w:t>digitalno</w:t>
      </w:r>
      <w:proofErr w:type="spellEnd"/>
      <w:r w:rsidRPr="000E700A">
        <w:rPr>
          <w:sz w:val="24"/>
          <w:szCs w:val="24"/>
        </w:rPr>
        <w:t xml:space="preserve"> </w:t>
      </w:r>
      <w:proofErr w:type="spellStart"/>
      <w:r w:rsidRPr="000E700A">
        <w:rPr>
          <w:sz w:val="24"/>
          <w:szCs w:val="24"/>
        </w:rPr>
        <w:t>zrelih</w:t>
      </w:r>
      <w:proofErr w:type="spellEnd"/>
      <w:r w:rsidRPr="000E700A">
        <w:rPr>
          <w:sz w:val="24"/>
          <w:szCs w:val="24"/>
        </w:rPr>
        <w:t xml:space="preserve"> </w:t>
      </w:r>
      <w:proofErr w:type="spellStart"/>
      <w:r w:rsidRPr="000E700A">
        <w:rPr>
          <w:sz w:val="24"/>
          <w:szCs w:val="24"/>
        </w:rPr>
        <w:t>škola</w:t>
      </w:r>
      <w:proofErr w:type="spellEnd"/>
      <w:r w:rsidRPr="000E700A">
        <w:rPr>
          <w:sz w:val="24"/>
          <w:szCs w:val="24"/>
        </w:rPr>
        <w:t xml:space="preserve">, s </w:t>
      </w:r>
      <w:proofErr w:type="spellStart"/>
      <w:r w:rsidRPr="000E700A">
        <w:rPr>
          <w:sz w:val="24"/>
          <w:szCs w:val="24"/>
        </w:rPr>
        <w:t>unaprijeđenim</w:t>
      </w:r>
      <w:proofErr w:type="spellEnd"/>
      <w:r w:rsidRPr="000E700A">
        <w:rPr>
          <w:sz w:val="24"/>
          <w:szCs w:val="24"/>
        </w:rPr>
        <w:t xml:space="preserve"> </w:t>
      </w:r>
      <w:proofErr w:type="spellStart"/>
      <w:r w:rsidRPr="000E700A">
        <w:rPr>
          <w:sz w:val="24"/>
          <w:szCs w:val="24"/>
        </w:rPr>
        <w:t>poslovnim</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nastavnim</w:t>
      </w:r>
      <w:proofErr w:type="spellEnd"/>
      <w:r w:rsidRPr="000E700A">
        <w:rPr>
          <w:sz w:val="24"/>
          <w:szCs w:val="24"/>
        </w:rPr>
        <w:t xml:space="preserve"> </w:t>
      </w:r>
      <w:proofErr w:type="spellStart"/>
      <w:r w:rsidRPr="000E700A">
        <w:rPr>
          <w:sz w:val="24"/>
          <w:szCs w:val="24"/>
        </w:rPr>
        <w:t>procesima</w:t>
      </w:r>
      <w:proofErr w:type="spellEnd"/>
      <w:r w:rsidRPr="000E700A">
        <w:rPr>
          <w:sz w:val="24"/>
          <w:szCs w:val="24"/>
        </w:rPr>
        <w:t xml:space="preserve">, </w:t>
      </w:r>
      <w:proofErr w:type="spellStart"/>
      <w:r w:rsidRPr="000E700A">
        <w:rPr>
          <w:sz w:val="24"/>
          <w:szCs w:val="24"/>
        </w:rPr>
        <w:t>spremnih</w:t>
      </w:r>
      <w:proofErr w:type="spellEnd"/>
      <w:r w:rsidRPr="000E700A">
        <w:rPr>
          <w:sz w:val="24"/>
          <w:szCs w:val="24"/>
        </w:rPr>
        <w:t xml:space="preserve"> za </w:t>
      </w:r>
      <w:proofErr w:type="spellStart"/>
      <w:r w:rsidRPr="000E700A">
        <w:rPr>
          <w:sz w:val="24"/>
          <w:szCs w:val="24"/>
        </w:rPr>
        <w:t>bržu</w:t>
      </w:r>
      <w:proofErr w:type="spellEnd"/>
      <w:r w:rsidRPr="000E700A">
        <w:rPr>
          <w:sz w:val="24"/>
          <w:szCs w:val="24"/>
        </w:rPr>
        <w:t xml:space="preserve"> </w:t>
      </w:r>
      <w:proofErr w:type="spellStart"/>
      <w:r w:rsidRPr="000E700A">
        <w:rPr>
          <w:sz w:val="24"/>
          <w:szCs w:val="24"/>
        </w:rPr>
        <w:t>prilagodbu</w:t>
      </w:r>
      <w:proofErr w:type="spellEnd"/>
      <w:r w:rsidRPr="000E700A">
        <w:rPr>
          <w:sz w:val="24"/>
          <w:szCs w:val="24"/>
        </w:rPr>
        <w:t xml:space="preserve"> </w:t>
      </w:r>
      <w:proofErr w:type="spellStart"/>
      <w:r w:rsidRPr="000E700A">
        <w:rPr>
          <w:sz w:val="24"/>
          <w:szCs w:val="24"/>
        </w:rPr>
        <w:t>obrazovanja</w:t>
      </w:r>
      <w:proofErr w:type="spellEnd"/>
      <w:r w:rsidRPr="000E700A">
        <w:rPr>
          <w:sz w:val="24"/>
          <w:szCs w:val="24"/>
        </w:rPr>
        <w:t xml:space="preserve"> </w:t>
      </w:r>
      <w:proofErr w:type="spellStart"/>
      <w:r w:rsidRPr="000E700A">
        <w:rPr>
          <w:sz w:val="24"/>
          <w:szCs w:val="24"/>
        </w:rPr>
        <w:t>tržištu</w:t>
      </w:r>
      <w:proofErr w:type="spellEnd"/>
      <w:r w:rsidRPr="000E700A">
        <w:rPr>
          <w:sz w:val="24"/>
          <w:szCs w:val="24"/>
        </w:rPr>
        <w:t xml:space="preserve"> </w:t>
      </w:r>
      <w:proofErr w:type="spellStart"/>
      <w:r w:rsidRPr="000E700A">
        <w:rPr>
          <w:sz w:val="24"/>
          <w:szCs w:val="24"/>
        </w:rPr>
        <w:t>rada</w:t>
      </w:r>
      <w:proofErr w:type="spellEnd"/>
      <w:r w:rsidRPr="000E700A">
        <w:rPr>
          <w:sz w:val="24"/>
          <w:szCs w:val="24"/>
        </w:rPr>
        <w:t xml:space="preserve">, </w:t>
      </w:r>
      <w:proofErr w:type="spellStart"/>
      <w:r w:rsidRPr="000E700A">
        <w:rPr>
          <w:sz w:val="24"/>
          <w:szCs w:val="24"/>
        </w:rPr>
        <w:t>kroz</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kompetentnih</w:t>
      </w:r>
      <w:proofErr w:type="spellEnd"/>
      <w:r w:rsidRPr="000E700A">
        <w:rPr>
          <w:sz w:val="24"/>
          <w:szCs w:val="24"/>
        </w:rPr>
        <w:t xml:space="preserve"> </w:t>
      </w:r>
      <w:proofErr w:type="spellStart"/>
      <w:r w:rsidRPr="000E700A">
        <w:rPr>
          <w:sz w:val="24"/>
          <w:szCs w:val="24"/>
        </w:rPr>
        <w:t>učenika</w:t>
      </w:r>
      <w:proofErr w:type="spellEnd"/>
      <w:r w:rsidRPr="000E700A">
        <w:rPr>
          <w:sz w:val="24"/>
          <w:szCs w:val="24"/>
        </w:rPr>
        <w:t xml:space="preserve"> </w:t>
      </w:r>
      <w:proofErr w:type="spellStart"/>
      <w:r w:rsidRPr="000E700A">
        <w:rPr>
          <w:sz w:val="24"/>
          <w:szCs w:val="24"/>
        </w:rPr>
        <w:t>spremnih</w:t>
      </w:r>
      <w:proofErr w:type="spellEnd"/>
      <w:r w:rsidRPr="000E700A">
        <w:rPr>
          <w:sz w:val="24"/>
          <w:szCs w:val="24"/>
        </w:rPr>
        <w:t xml:space="preserve"> za </w:t>
      </w:r>
      <w:proofErr w:type="spellStart"/>
      <w:r w:rsidRPr="000E700A">
        <w:rPr>
          <w:sz w:val="24"/>
          <w:szCs w:val="24"/>
        </w:rPr>
        <w:t>nastavak</w:t>
      </w:r>
      <w:proofErr w:type="spellEnd"/>
      <w:r w:rsidRPr="000E700A">
        <w:rPr>
          <w:sz w:val="24"/>
          <w:szCs w:val="24"/>
        </w:rPr>
        <w:t xml:space="preserve"> </w:t>
      </w:r>
      <w:proofErr w:type="spellStart"/>
      <w:r w:rsidRPr="000E700A">
        <w:rPr>
          <w:sz w:val="24"/>
          <w:szCs w:val="24"/>
        </w:rPr>
        <w:t>školovanja</w:t>
      </w:r>
      <w:proofErr w:type="spellEnd"/>
      <w:r w:rsidRPr="000E700A">
        <w:rPr>
          <w:sz w:val="24"/>
          <w:szCs w:val="24"/>
        </w:rPr>
        <w:t xml:space="preserve"> </w:t>
      </w:r>
      <w:proofErr w:type="spellStart"/>
      <w:r w:rsidRPr="000E700A">
        <w:rPr>
          <w:sz w:val="24"/>
          <w:szCs w:val="24"/>
        </w:rPr>
        <w:t>ili</w:t>
      </w:r>
      <w:proofErr w:type="spellEnd"/>
      <w:r w:rsidRPr="000E700A">
        <w:rPr>
          <w:sz w:val="24"/>
          <w:szCs w:val="24"/>
        </w:rPr>
        <w:t xml:space="preserve"> za </w:t>
      </w:r>
      <w:proofErr w:type="spellStart"/>
      <w:r w:rsidRPr="000E700A">
        <w:rPr>
          <w:sz w:val="24"/>
          <w:szCs w:val="24"/>
        </w:rPr>
        <w:t>kvalite</w:t>
      </w:r>
      <w:r w:rsidR="00844835" w:rsidRPr="000E700A">
        <w:rPr>
          <w:sz w:val="24"/>
          <w:szCs w:val="24"/>
        </w:rPr>
        <w:t>tan</w:t>
      </w:r>
      <w:proofErr w:type="spellEnd"/>
      <w:r w:rsidRPr="000E700A">
        <w:rPr>
          <w:sz w:val="24"/>
          <w:szCs w:val="24"/>
        </w:rPr>
        <w:t xml:space="preserve"> </w:t>
      </w:r>
      <w:proofErr w:type="spellStart"/>
      <w:r w:rsidRPr="000E700A">
        <w:rPr>
          <w:sz w:val="24"/>
          <w:szCs w:val="24"/>
        </w:rPr>
        <w:t>ulazak</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tržište</w:t>
      </w:r>
      <w:proofErr w:type="spellEnd"/>
      <w:r w:rsidRPr="000E700A">
        <w:rPr>
          <w:sz w:val="24"/>
          <w:szCs w:val="24"/>
        </w:rPr>
        <w:t xml:space="preserve"> </w:t>
      </w:r>
      <w:proofErr w:type="spellStart"/>
      <w:r w:rsidRPr="000E700A">
        <w:rPr>
          <w:sz w:val="24"/>
          <w:szCs w:val="24"/>
        </w:rPr>
        <w:t>rada</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e-</w:t>
      </w:r>
      <w:proofErr w:type="spellStart"/>
      <w:r w:rsidRPr="000E700A">
        <w:rPr>
          <w:sz w:val="24"/>
          <w:szCs w:val="24"/>
        </w:rPr>
        <w:t>škola</w:t>
      </w:r>
      <w:proofErr w:type="spellEnd"/>
      <w:r w:rsidRPr="000E700A">
        <w:rPr>
          <w:sz w:val="24"/>
          <w:szCs w:val="24"/>
        </w:rPr>
        <w:t xml:space="preserve"> </w:t>
      </w:r>
      <w:proofErr w:type="spellStart"/>
      <w:r w:rsidRPr="000E700A">
        <w:rPr>
          <w:sz w:val="24"/>
          <w:szCs w:val="24"/>
        </w:rPr>
        <w:t>potaknut</w:t>
      </w:r>
      <w:proofErr w:type="spellEnd"/>
      <w:r w:rsidRPr="000E700A">
        <w:rPr>
          <w:sz w:val="24"/>
          <w:szCs w:val="24"/>
        </w:rPr>
        <w:t xml:space="preserve"> </w:t>
      </w:r>
      <w:proofErr w:type="spellStart"/>
      <w:r w:rsidRPr="000E700A">
        <w:rPr>
          <w:sz w:val="24"/>
          <w:szCs w:val="24"/>
        </w:rPr>
        <w:t>će</w:t>
      </w:r>
      <w:proofErr w:type="spellEnd"/>
      <w:r w:rsidRPr="000E700A">
        <w:rPr>
          <w:sz w:val="24"/>
          <w:szCs w:val="24"/>
        </w:rPr>
        <w:t xml:space="preserve"> se </w:t>
      </w:r>
      <w:proofErr w:type="spellStart"/>
      <w:r w:rsidRPr="000E700A">
        <w:rPr>
          <w:sz w:val="24"/>
          <w:szCs w:val="24"/>
        </w:rPr>
        <w:t>spajanjem</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ultrabrzi</w:t>
      </w:r>
      <w:proofErr w:type="spellEnd"/>
      <w:r w:rsidRPr="000E700A">
        <w:rPr>
          <w:sz w:val="24"/>
          <w:szCs w:val="24"/>
        </w:rPr>
        <w:t xml:space="preserve"> </w:t>
      </w:r>
      <w:proofErr w:type="spellStart"/>
      <w:r w:rsidRPr="000E700A">
        <w:rPr>
          <w:sz w:val="24"/>
          <w:szCs w:val="24"/>
        </w:rPr>
        <w:t>širokopojasni</w:t>
      </w:r>
      <w:proofErr w:type="spellEnd"/>
      <w:r w:rsidRPr="000E700A">
        <w:rPr>
          <w:sz w:val="24"/>
          <w:szCs w:val="24"/>
        </w:rPr>
        <w:t xml:space="preserve"> internet, </w:t>
      </w:r>
      <w:proofErr w:type="spellStart"/>
      <w:r w:rsidRPr="000E700A">
        <w:rPr>
          <w:sz w:val="24"/>
          <w:szCs w:val="24"/>
        </w:rPr>
        <w:t>opremanjem</w:t>
      </w:r>
      <w:proofErr w:type="spellEnd"/>
      <w:r w:rsidRPr="000E700A">
        <w:rPr>
          <w:sz w:val="24"/>
          <w:szCs w:val="24"/>
        </w:rPr>
        <w:t xml:space="preserve"> </w:t>
      </w:r>
      <w:proofErr w:type="spellStart"/>
      <w:r w:rsidRPr="000E700A">
        <w:rPr>
          <w:sz w:val="24"/>
          <w:szCs w:val="24"/>
        </w:rPr>
        <w:t>informacijsko-komunikacijskim</w:t>
      </w:r>
      <w:proofErr w:type="spellEnd"/>
      <w:r w:rsidRPr="000E700A">
        <w:rPr>
          <w:sz w:val="24"/>
          <w:szCs w:val="24"/>
        </w:rPr>
        <w:t xml:space="preserve"> </w:t>
      </w:r>
      <w:proofErr w:type="spellStart"/>
      <w:r w:rsidRPr="000E700A">
        <w:rPr>
          <w:sz w:val="24"/>
          <w:szCs w:val="24"/>
        </w:rPr>
        <w:t>tehnologijama</w:t>
      </w:r>
      <w:proofErr w:type="spellEnd"/>
      <w:r w:rsidRPr="000E700A">
        <w:rPr>
          <w:sz w:val="24"/>
          <w:szCs w:val="24"/>
        </w:rPr>
        <w:t xml:space="preserve"> (IKT), </w:t>
      </w:r>
      <w:proofErr w:type="spellStart"/>
      <w:r w:rsidRPr="000E700A">
        <w:rPr>
          <w:sz w:val="24"/>
          <w:szCs w:val="24"/>
        </w:rPr>
        <w:t>informatizacijom</w:t>
      </w:r>
      <w:proofErr w:type="spellEnd"/>
      <w:r w:rsidRPr="000E700A">
        <w:rPr>
          <w:sz w:val="24"/>
          <w:szCs w:val="24"/>
        </w:rPr>
        <w:t xml:space="preserve"> </w:t>
      </w:r>
      <w:proofErr w:type="spellStart"/>
      <w:r w:rsidRPr="000E700A">
        <w:rPr>
          <w:sz w:val="24"/>
          <w:szCs w:val="24"/>
        </w:rPr>
        <w:t>procesa</w:t>
      </w:r>
      <w:proofErr w:type="spellEnd"/>
      <w:r w:rsidRPr="000E700A">
        <w:rPr>
          <w:sz w:val="24"/>
          <w:szCs w:val="24"/>
        </w:rPr>
        <w:t xml:space="preserve"> </w:t>
      </w:r>
      <w:proofErr w:type="spellStart"/>
      <w:r w:rsidRPr="000E700A">
        <w:rPr>
          <w:sz w:val="24"/>
          <w:szCs w:val="24"/>
        </w:rPr>
        <w:t>poslovanja</w:t>
      </w:r>
      <w:proofErr w:type="spellEnd"/>
      <w:r w:rsidRPr="000E700A">
        <w:rPr>
          <w:sz w:val="24"/>
          <w:szCs w:val="24"/>
        </w:rPr>
        <w:t xml:space="preserve">, </w:t>
      </w:r>
      <w:proofErr w:type="spellStart"/>
      <w:r w:rsidRPr="000E700A">
        <w:rPr>
          <w:sz w:val="24"/>
          <w:szCs w:val="24"/>
        </w:rPr>
        <w:t>učenja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poučavanja</w:t>
      </w:r>
      <w:proofErr w:type="spellEnd"/>
      <w:r w:rsidRPr="000E700A">
        <w:rPr>
          <w:sz w:val="24"/>
          <w:szCs w:val="24"/>
        </w:rPr>
        <w:t xml:space="preserve"> </w:t>
      </w:r>
      <w:proofErr w:type="spellStart"/>
      <w:r w:rsidRPr="000E700A">
        <w:rPr>
          <w:sz w:val="24"/>
          <w:szCs w:val="24"/>
        </w:rPr>
        <w:t>te</w:t>
      </w:r>
      <w:proofErr w:type="spellEnd"/>
      <w:r w:rsidRPr="000E700A">
        <w:rPr>
          <w:sz w:val="24"/>
          <w:szCs w:val="24"/>
        </w:rPr>
        <w:t xml:space="preserve"> </w:t>
      </w:r>
      <w:proofErr w:type="spellStart"/>
      <w:r w:rsidRPr="000E700A">
        <w:rPr>
          <w:sz w:val="24"/>
          <w:szCs w:val="24"/>
        </w:rPr>
        <w:t>stručnim</w:t>
      </w:r>
      <w:proofErr w:type="spellEnd"/>
      <w:r w:rsidRPr="000E700A">
        <w:rPr>
          <w:sz w:val="24"/>
          <w:szCs w:val="24"/>
        </w:rPr>
        <w:t xml:space="preserve"> </w:t>
      </w:r>
      <w:proofErr w:type="spellStart"/>
      <w:r w:rsidRPr="000E700A">
        <w:rPr>
          <w:sz w:val="24"/>
          <w:szCs w:val="24"/>
        </w:rPr>
        <w:t>usavršavanjem</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podrškom</w:t>
      </w:r>
      <w:proofErr w:type="spellEnd"/>
      <w:r w:rsidRPr="000E700A">
        <w:rPr>
          <w:sz w:val="24"/>
          <w:szCs w:val="24"/>
        </w:rPr>
        <w:t xml:space="preserve"> </w:t>
      </w:r>
      <w:proofErr w:type="spellStart"/>
      <w:r w:rsidRPr="000E700A">
        <w:rPr>
          <w:sz w:val="24"/>
          <w:szCs w:val="24"/>
        </w:rPr>
        <w:t>ravnateljima</w:t>
      </w:r>
      <w:proofErr w:type="spellEnd"/>
      <w:r w:rsidRPr="000E700A">
        <w:rPr>
          <w:sz w:val="24"/>
          <w:szCs w:val="24"/>
        </w:rPr>
        <w:t xml:space="preserve">, </w:t>
      </w:r>
      <w:proofErr w:type="spellStart"/>
      <w:r w:rsidRPr="000E700A">
        <w:rPr>
          <w:sz w:val="24"/>
          <w:szCs w:val="24"/>
        </w:rPr>
        <w:t>nastavnicima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stručnom</w:t>
      </w:r>
      <w:proofErr w:type="spellEnd"/>
      <w:r w:rsidRPr="000E700A">
        <w:rPr>
          <w:sz w:val="24"/>
          <w:szCs w:val="24"/>
        </w:rPr>
        <w:t xml:space="preserve"> </w:t>
      </w:r>
      <w:proofErr w:type="spellStart"/>
      <w:r w:rsidRPr="000E700A">
        <w:rPr>
          <w:sz w:val="24"/>
          <w:szCs w:val="24"/>
        </w:rPr>
        <w:t>osoblju</w:t>
      </w:r>
      <w:proofErr w:type="spellEnd"/>
      <w:r w:rsidRPr="000E700A">
        <w:rPr>
          <w:sz w:val="24"/>
          <w:szCs w:val="24"/>
        </w:rPr>
        <w:t xml:space="preserve"> u </w:t>
      </w:r>
      <w:proofErr w:type="spellStart"/>
      <w:r w:rsidRPr="000E700A">
        <w:rPr>
          <w:sz w:val="24"/>
          <w:szCs w:val="24"/>
        </w:rPr>
        <w:t>primjeni</w:t>
      </w:r>
      <w:proofErr w:type="spellEnd"/>
      <w:r w:rsidRPr="000E700A">
        <w:rPr>
          <w:sz w:val="24"/>
          <w:szCs w:val="24"/>
        </w:rPr>
        <w:t xml:space="preserve"> IKT-a u </w:t>
      </w:r>
      <w:proofErr w:type="spellStart"/>
      <w:r w:rsidRPr="000E700A">
        <w:rPr>
          <w:sz w:val="24"/>
          <w:szCs w:val="24"/>
        </w:rPr>
        <w:t>nastavi</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poslovanju</w:t>
      </w:r>
      <w:proofErr w:type="spellEnd"/>
      <w:r w:rsidRPr="000E700A">
        <w:rPr>
          <w:sz w:val="24"/>
          <w:szCs w:val="24"/>
        </w:rPr>
        <w:t xml:space="preserve"> </w:t>
      </w:r>
      <w:proofErr w:type="spellStart"/>
      <w:r w:rsidRPr="000E700A">
        <w:rPr>
          <w:sz w:val="24"/>
          <w:szCs w:val="24"/>
        </w:rPr>
        <w:t>škole</w:t>
      </w:r>
      <w:proofErr w:type="spellEnd"/>
      <w:r w:rsidRPr="000E700A">
        <w:rPr>
          <w:sz w:val="24"/>
          <w:szCs w:val="24"/>
        </w:rPr>
        <w:t xml:space="preserve">. </w:t>
      </w:r>
      <w:proofErr w:type="spellStart"/>
      <w:r w:rsidRPr="000E700A">
        <w:rPr>
          <w:sz w:val="24"/>
          <w:szCs w:val="24"/>
        </w:rPr>
        <w:t>Digitalno</w:t>
      </w:r>
      <w:proofErr w:type="spellEnd"/>
      <w:r w:rsidRPr="000E700A">
        <w:rPr>
          <w:sz w:val="24"/>
          <w:szCs w:val="24"/>
        </w:rPr>
        <w:t xml:space="preserve"> </w:t>
      </w:r>
      <w:proofErr w:type="spellStart"/>
      <w:r w:rsidRPr="000E700A">
        <w:rPr>
          <w:sz w:val="24"/>
          <w:szCs w:val="24"/>
        </w:rPr>
        <w:t>kompetentni</w:t>
      </w:r>
      <w:proofErr w:type="spellEnd"/>
      <w:r w:rsidRPr="000E700A">
        <w:rPr>
          <w:sz w:val="24"/>
          <w:szCs w:val="24"/>
        </w:rPr>
        <w:t xml:space="preserve"> </w:t>
      </w:r>
      <w:proofErr w:type="spellStart"/>
      <w:r w:rsidRPr="000E700A">
        <w:rPr>
          <w:sz w:val="24"/>
          <w:szCs w:val="24"/>
        </w:rPr>
        <w:t>nastavnici</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učenici</w:t>
      </w:r>
      <w:proofErr w:type="spellEnd"/>
      <w:r w:rsidRPr="000E700A">
        <w:rPr>
          <w:sz w:val="24"/>
          <w:szCs w:val="24"/>
        </w:rPr>
        <w:t xml:space="preserve"> </w:t>
      </w:r>
      <w:proofErr w:type="spellStart"/>
      <w:r w:rsidRPr="000E700A">
        <w:rPr>
          <w:sz w:val="24"/>
          <w:szCs w:val="24"/>
        </w:rPr>
        <w:t>će</w:t>
      </w:r>
      <w:proofErr w:type="spellEnd"/>
      <w:r w:rsidRPr="000E700A">
        <w:rPr>
          <w:sz w:val="24"/>
          <w:szCs w:val="24"/>
        </w:rPr>
        <w:t xml:space="preserve"> u </w:t>
      </w:r>
      <w:proofErr w:type="spellStart"/>
      <w:r w:rsidRPr="000E700A">
        <w:rPr>
          <w:sz w:val="24"/>
          <w:szCs w:val="24"/>
        </w:rPr>
        <w:t>svom</w:t>
      </w:r>
      <w:proofErr w:type="spellEnd"/>
      <w:r w:rsidRPr="000E700A">
        <w:rPr>
          <w:sz w:val="24"/>
          <w:szCs w:val="24"/>
        </w:rPr>
        <w:t xml:space="preserve"> </w:t>
      </w:r>
      <w:proofErr w:type="spellStart"/>
      <w:r w:rsidRPr="000E700A">
        <w:rPr>
          <w:sz w:val="24"/>
          <w:szCs w:val="24"/>
        </w:rPr>
        <w:t>svakodnevnom</w:t>
      </w:r>
      <w:proofErr w:type="spellEnd"/>
      <w:r w:rsidRPr="000E700A">
        <w:rPr>
          <w:sz w:val="24"/>
          <w:szCs w:val="24"/>
        </w:rPr>
        <w:t xml:space="preserve"> </w:t>
      </w:r>
      <w:proofErr w:type="spellStart"/>
      <w:r w:rsidRPr="000E700A">
        <w:rPr>
          <w:sz w:val="24"/>
          <w:szCs w:val="24"/>
        </w:rPr>
        <w:t>radu</w:t>
      </w:r>
      <w:proofErr w:type="spellEnd"/>
      <w:r w:rsidRPr="000E700A">
        <w:rPr>
          <w:sz w:val="24"/>
          <w:szCs w:val="24"/>
        </w:rPr>
        <w:t xml:space="preserve"> </w:t>
      </w:r>
      <w:proofErr w:type="spellStart"/>
      <w:r w:rsidRPr="000E700A">
        <w:rPr>
          <w:sz w:val="24"/>
          <w:szCs w:val="24"/>
        </w:rPr>
        <w:t>koristiti</w:t>
      </w:r>
      <w:proofErr w:type="spellEnd"/>
      <w:r w:rsidRPr="000E700A">
        <w:rPr>
          <w:sz w:val="24"/>
          <w:szCs w:val="24"/>
        </w:rPr>
        <w:t xml:space="preserve"> </w:t>
      </w:r>
      <w:proofErr w:type="spellStart"/>
      <w:r w:rsidRPr="000E700A">
        <w:rPr>
          <w:sz w:val="24"/>
          <w:szCs w:val="24"/>
        </w:rPr>
        <w:t>računalnu</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mobilnu</w:t>
      </w:r>
      <w:proofErr w:type="spellEnd"/>
      <w:r w:rsidRPr="000E700A">
        <w:rPr>
          <w:sz w:val="24"/>
          <w:szCs w:val="24"/>
        </w:rPr>
        <w:t xml:space="preserve"> </w:t>
      </w:r>
      <w:proofErr w:type="spellStart"/>
      <w:r w:rsidRPr="000E700A">
        <w:rPr>
          <w:sz w:val="24"/>
          <w:szCs w:val="24"/>
        </w:rPr>
        <w:t>opremu</w:t>
      </w:r>
      <w:proofErr w:type="spellEnd"/>
      <w:r w:rsidRPr="000E700A">
        <w:rPr>
          <w:sz w:val="24"/>
          <w:szCs w:val="24"/>
        </w:rPr>
        <w:t xml:space="preserve"> </w:t>
      </w:r>
      <w:proofErr w:type="spellStart"/>
      <w:r w:rsidRPr="000E700A">
        <w:rPr>
          <w:sz w:val="24"/>
          <w:szCs w:val="24"/>
        </w:rPr>
        <w:t>te</w:t>
      </w:r>
      <w:proofErr w:type="spellEnd"/>
      <w:r w:rsidRPr="000E700A">
        <w:rPr>
          <w:sz w:val="24"/>
          <w:szCs w:val="24"/>
        </w:rPr>
        <w:t xml:space="preserve"> </w:t>
      </w:r>
      <w:proofErr w:type="spellStart"/>
      <w:r w:rsidRPr="000E700A">
        <w:rPr>
          <w:sz w:val="24"/>
          <w:szCs w:val="24"/>
        </w:rPr>
        <w:t>obrazovne</w:t>
      </w:r>
      <w:proofErr w:type="spellEnd"/>
      <w:r w:rsidRPr="000E700A">
        <w:rPr>
          <w:sz w:val="24"/>
          <w:szCs w:val="24"/>
        </w:rPr>
        <w:t xml:space="preserve"> </w:t>
      </w:r>
      <w:proofErr w:type="spellStart"/>
      <w:r w:rsidRPr="000E700A">
        <w:rPr>
          <w:sz w:val="24"/>
          <w:szCs w:val="24"/>
        </w:rPr>
        <w:t>aplikacije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digitalne</w:t>
      </w:r>
      <w:proofErr w:type="spellEnd"/>
      <w:r w:rsidRPr="000E700A">
        <w:rPr>
          <w:sz w:val="24"/>
          <w:szCs w:val="24"/>
        </w:rPr>
        <w:t xml:space="preserve"> </w:t>
      </w:r>
      <w:proofErr w:type="spellStart"/>
      <w:r w:rsidRPr="000E700A">
        <w:rPr>
          <w:sz w:val="24"/>
          <w:szCs w:val="24"/>
        </w:rPr>
        <w:t>nastavne</w:t>
      </w:r>
      <w:proofErr w:type="spellEnd"/>
      <w:r w:rsidRPr="000E700A">
        <w:rPr>
          <w:sz w:val="24"/>
          <w:szCs w:val="24"/>
        </w:rPr>
        <w:t xml:space="preserve"> </w:t>
      </w:r>
      <w:proofErr w:type="spellStart"/>
      <w:r w:rsidRPr="000E700A">
        <w:rPr>
          <w:sz w:val="24"/>
          <w:szCs w:val="24"/>
        </w:rPr>
        <w:t>materijale</w:t>
      </w:r>
      <w:proofErr w:type="spellEnd"/>
      <w:r w:rsidRPr="000E700A">
        <w:rPr>
          <w:sz w:val="24"/>
          <w:szCs w:val="24"/>
        </w:rPr>
        <w:t xml:space="preserve">. </w:t>
      </w:r>
    </w:p>
    <w:p w14:paraId="72D4AC76" w14:textId="011FD807" w:rsidR="00CC2DDC" w:rsidRPr="000E700A" w:rsidRDefault="003F5CC5" w:rsidP="00324432">
      <w:pPr>
        <w:spacing w:line="360" w:lineRule="auto"/>
        <w:jc w:val="both"/>
        <w:rPr>
          <w:b/>
          <w:sz w:val="24"/>
          <w:szCs w:val="24"/>
          <w:lang w:val="hr-HR"/>
        </w:rPr>
      </w:pPr>
      <w:r w:rsidRPr="000E700A">
        <w:rPr>
          <w:sz w:val="24"/>
          <w:szCs w:val="24"/>
        </w:rPr>
        <w:t xml:space="preserve">S </w:t>
      </w:r>
      <w:proofErr w:type="spellStart"/>
      <w:r w:rsidRPr="000E700A">
        <w:rPr>
          <w:sz w:val="24"/>
          <w:szCs w:val="24"/>
        </w:rPr>
        <w:t>ciljem</w:t>
      </w:r>
      <w:proofErr w:type="spellEnd"/>
      <w:r w:rsidRPr="000E700A">
        <w:rPr>
          <w:sz w:val="24"/>
          <w:szCs w:val="24"/>
        </w:rPr>
        <w:t xml:space="preserve"> </w:t>
      </w:r>
      <w:proofErr w:type="spellStart"/>
      <w:r w:rsidRPr="000E700A">
        <w:rPr>
          <w:sz w:val="24"/>
          <w:szCs w:val="24"/>
        </w:rPr>
        <w:t>doprinosa</w:t>
      </w:r>
      <w:proofErr w:type="spellEnd"/>
      <w:r w:rsidRPr="000E700A">
        <w:rPr>
          <w:sz w:val="24"/>
          <w:szCs w:val="24"/>
        </w:rPr>
        <w:t xml:space="preserve"> </w:t>
      </w:r>
      <w:proofErr w:type="spellStart"/>
      <w:r w:rsidRPr="000E700A">
        <w:rPr>
          <w:sz w:val="24"/>
          <w:szCs w:val="24"/>
        </w:rPr>
        <w:t>razvoju</w:t>
      </w:r>
      <w:proofErr w:type="spellEnd"/>
      <w:r w:rsidRPr="000E700A">
        <w:rPr>
          <w:sz w:val="24"/>
          <w:szCs w:val="24"/>
        </w:rPr>
        <w:t xml:space="preserve"> </w:t>
      </w:r>
      <w:proofErr w:type="spellStart"/>
      <w:r w:rsidRPr="000E700A">
        <w:rPr>
          <w:sz w:val="24"/>
          <w:szCs w:val="24"/>
        </w:rPr>
        <w:t>digitalnog</w:t>
      </w:r>
      <w:proofErr w:type="spellEnd"/>
      <w:r w:rsidRPr="000E700A">
        <w:rPr>
          <w:sz w:val="24"/>
          <w:szCs w:val="24"/>
        </w:rPr>
        <w:t xml:space="preserve"> </w:t>
      </w:r>
      <w:proofErr w:type="spellStart"/>
      <w:r w:rsidRPr="000E700A">
        <w:rPr>
          <w:sz w:val="24"/>
          <w:szCs w:val="24"/>
        </w:rPr>
        <w:t>društva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u </w:t>
      </w:r>
      <w:proofErr w:type="spellStart"/>
      <w:r w:rsidRPr="000E700A">
        <w:rPr>
          <w:sz w:val="24"/>
          <w:szCs w:val="24"/>
        </w:rPr>
        <w:t>skladu</w:t>
      </w:r>
      <w:proofErr w:type="spellEnd"/>
      <w:r w:rsidRPr="000E700A">
        <w:rPr>
          <w:sz w:val="24"/>
          <w:szCs w:val="24"/>
        </w:rPr>
        <w:t xml:space="preserve"> s </w:t>
      </w:r>
      <w:proofErr w:type="spellStart"/>
      <w:r w:rsidRPr="000E700A">
        <w:rPr>
          <w:sz w:val="24"/>
          <w:szCs w:val="24"/>
        </w:rPr>
        <w:t>ciljevima</w:t>
      </w:r>
      <w:proofErr w:type="spellEnd"/>
      <w:r w:rsidRPr="000E700A">
        <w:rPr>
          <w:sz w:val="24"/>
          <w:szCs w:val="24"/>
        </w:rPr>
        <w:t xml:space="preserve"> </w:t>
      </w:r>
      <w:proofErr w:type="spellStart"/>
      <w:r w:rsidRPr="000E700A">
        <w:rPr>
          <w:sz w:val="24"/>
          <w:szCs w:val="24"/>
        </w:rPr>
        <w:t>Strategije</w:t>
      </w:r>
      <w:proofErr w:type="spellEnd"/>
      <w:r w:rsidRPr="000E700A">
        <w:rPr>
          <w:sz w:val="24"/>
          <w:szCs w:val="24"/>
        </w:rPr>
        <w:t xml:space="preserve"> </w:t>
      </w:r>
      <w:proofErr w:type="spellStart"/>
      <w:r w:rsidRPr="000E700A">
        <w:rPr>
          <w:sz w:val="24"/>
          <w:szCs w:val="24"/>
        </w:rPr>
        <w:t>obrazovanja</w:t>
      </w:r>
      <w:proofErr w:type="spellEnd"/>
      <w:r w:rsidRPr="000E700A">
        <w:rPr>
          <w:sz w:val="24"/>
          <w:szCs w:val="24"/>
        </w:rPr>
        <w:t xml:space="preserve">, </w:t>
      </w:r>
      <w:proofErr w:type="spellStart"/>
      <w:r w:rsidRPr="000E700A">
        <w:rPr>
          <w:sz w:val="24"/>
          <w:szCs w:val="24"/>
        </w:rPr>
        <w:t>znanosti</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tehnologije</w:t>
      </w:r>
      <w:proofErr w:type="spellEnd"/>
      <w:r w:rsidRPr="000E700A">
        <w:rPr>
          <w:sz w:val="24"/>
          <w:szCs w:val="24"/>
        </w:rPr>
        <w:t xml:space="preserve">, CARNET </w:t>
      </w:r>
      <w:proofErr w:type="spellStart"/>
      <w:r w:rsidRPr="000E700A">
        <w:rPr>
          <w:sz w:val="24"/>
          <w:szCs w:val="24"/>
        </w:rPr>
        <w:t>provodi</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potiče</w:t>
      </w:r>
      <w:proofErr w:type="spellEnd"/>
      <w:r w:rsidRPr="000E700A">
        <w:rPr>
          <w:sz w:val="24"/>
          <w:szCs w:val="24"/>
        </w:rPr>
        <w:t xml:space="preserve"> </w:t>
      </w:r>
      <w:proofErr w:type="spellStart"/>
      <w:r w:rsidRPr="000E700A">
        <w:rPr>
          <w:sz w:val="24"/>
          <w:szCs w:val="24"/>
        </w:rPr>
        <w:t>aktivnosti</w:t>
      </w:r>
      <w:proofErr w:type="spellEnd"/>
      <w:r w:rsidRPr="000E700A">
        <w:rPr>
          <w:sz w:val="24"/>
          <w:szCs w:val="24"/>
        </w:rPr>
        <w:t xml:space="preserve"> </w:t>
      </w:r>
      <w:proofErr w:type="spellStart"/>
      <w:r w:rsidRPr="000E700A">
        <w:rPr>
          <w:sz w:val="24"/>
          <w:szCs w:val="24"/>
        </w:rPr>
        <w:t>pripreme</w:t>
      </w:r>
      <w:proofErr w:type="spellEnd"/>
      <w:r w:rsidRPr="000E700A">
        <w:rPr>
          <w:sz w:val="24"/>
          <w:szCs w:val="24"/>
        </w:rPr>
        <w:t xml:space="preserve"> </w:t>
      </w:r>
      <w:proofErr w:type="spellStart"/>
      <w:r w:rsidRPr="000E700A">
        <w:rPr>
          <w:sz w:val="24"/>
          <w:szCs w:val="24"/>
        </w:rPr>
        <w:t>nastavnika</w:t>
      </w:r>
      <w:proofErr w:type="spellEnd"/>
      <w:r w:rsidRPr="000E700A">
        <w:rPr>
          <w:sz w:val="24"/>
          <w:szCs w:val="24"/>
        </w:rPr>
        <w:t xml:space="preserve"> za </w:t>
      </w:r>
      <w:proofErr w:type="spellStart"/>
      <w:r w:rsidRPr="000E700A">
        <w:rPr>
          <w:sz w:val="24"/>
          <w:szCs w:val="24"/>
        </w:rPr>
        <w:t>korištenje</w:t>
      </w:r>
      <w:proofErr w:type="spellEnd"/>
      <w:r w:rsidRPr="000E700A">
        <w:rPr>
          <w:sz w:val="24"/>
          <w:szCs w:val="24"/>
        </w:rPr>
        <w:t xml:space="preserve"> IKT-a u </w:t>
      </w:r>
      <w:proofErr w:type="spellStart"/>
      <w:r w:rsidRPr="000E700A">
        <w:rPr>
          <w:sz w:val="24"/>
          <w:szCs w:val="24"/>
        </w:rPr>
        <w:t>odgojno-obrazovnom</w:t>
      </w:r>
      <w:proofErr w:type="spellEnd"/>
      <w:r w:rsidRPr="000E700A">
        <w:rPr>
          <w:sz w:val="24"/>
          <w:szCs w:val="24"/>
        </w:rPr>
        <w:t xml:space="preserve"> </w:t>
      </w:r>
      <w:proofErr w:type="spellStart"/>
      <w:r w:rsidRPr="000E700A">
        <w:rPr>
          <w:sz w:val="24"/>
          <w:szCs w:val="24"/>
        </w:rPr>
        <w:t>procesu</w:t>
      </w:r>
      <w:proofErr w:type="spellEnd"/>
      <w:r w:rsidRPr="000E700A">
        <w:rPr>
          <w:sz w:val="24"/>
          <w:szCs w:val="24"/>
        </w:rPr>
        <w:t xml:space="preserve"> </w:t>
      </w:r>
      <w:proofErr w:type="spellStart"/>
      <w:r w:rsidRPr="000E700A">
        <w:rPr>
          <w:sz w:val="24"/>
          <w:szCs w:val="24"/>
        </w:rPr>
        <w:t>te</w:t>
      </w:r>
      <w:proofErr w:type="spellEnd"/>
      <w:r w:rsidRPr="000E700A">
        <w:rPr>
          <w:sz w:val="24"/>
          <w:szCs w:val="24"/>
        </w:rPr>
        <w:t xml:space="preserve"> </w:t>
      </w:r>
      <w:proofErr w:type="spellStart"/>
      <w:r w:rsidRPr="000E700A">
        <w:rPr>
          <w:sz w:val="24"/>
          <w:szCs w:val="24"/>
        </w:rPr>
        <w:t>podizanja</w:t>
      </w:r>
      <w:proofErr w:type="spellEnd"/>
      <w:r w:rsidRPr="000E700A">
        <w:rPr>
          <w:sz w:val="24"/>
          <w:szCs w:val="24"/>
        </w:rPr>
        <w:t xml:space="preserve"> </w:t>
      </w:r>
      <w:proofErr w:type="spellStart"/>
      <w:r w:rsidRPr="000E700A">
        <w:rPr>
          <w:sz w:val="24"/>
          <w:szCs w:val="24"/>
        </w:rPr>
        <w:t>njihovih</w:t>
      </w:r>
      <w:proofErr w:type="spellEnd"/>
      <w:r w:rsidRPr="000E700A">
        <w:rPr>
          <w:sz w:val="24"/>
          <w:szCs w:val="24"/>
        </w:rPr>
        <w:t xml:space="preserve"> </w:t>
      </w:r>
      <w:proofErr w:type="spellStart"/>
      <w:r w:rsidRPr="000E700A">
        <w:rPr>
          <w:sz w:val="24"/>
          <w:szCs w:val="24"/>
        </w:rPr>
        <w:t>digitalnih</w:t>
      </w:r>
      <w:proofErr w:type="spellEnd"/>
      <w:r w:rsidRPr="000E700A">
        <w:rPr>
          <w:sz w:val="24"/>
          <w:szCs w:val="24"/>
        </w:rPr>
        <w:t xml:space="preserve"> </w:t>
      </w:r>
      <w:proofErr w:type="spellStart"/>
      <w:r w:rsidRPr="000E700A">
        <w:rPr>
          <w:sz w:val="24"/>
          <w:szCs w:val="24"/>
        </w:rPr>
        <w:t>kompetencija</w:t>
      </w:r>
      <w:proofErr w:type="spellEnd"/>
      <w:r w:rsidRPr="000E700A">
        <w:rPr>
          <w:sz w:val="24"/>
          <w:szCs w:val="24"/>
        </w:rPr>
        <w:t xml:space="preserve"> </w:t>
      </w:r>
      <w:proofErr w:type="spellStart"/>
      <w:r w:rsidRPr="000E700A">
        <w:rPr>
          <w:sz w:val="24"/>
          <w:szCs w:val="24"/>
        </w:rPr>
        <w:t>kroz</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provođenje</w:t>
      </w:r>
      <w:proofErr w:type="spellEnd"/>
      <w:r w:rsidRPr="000E700A">
        <w:rPr>
          <w:sz w:val="24"/>
          <w:szCs w:val="24"/>
        </w:rPr>
        <w:t xml:space="preserve"> </w:t>
      </w:r>
      <w:proofErr w:type="spellStart"/>
      <w:r w:rsidRPr="000E700A">
        <w:rPr>
          <w:sz w:val="24"/>
          <w:szCs w:val="24"/>
        </w:rPr>
        <w:t>masovnih</w:t>
      </w:r>
      <w:proofErr w:type="spellEnd"/>
      <w:r w:rsidRPr="000E700A">
        <w:rPr>
          <w:sz w:val="24"/>
          <w:szCs w:val="24"/>
        </w:rPr>
        <w:t xml:space="preserve"> </w:t>
      </w:r>
      <w:proofErr w:type="spellStart"/>
      <w:r w:rsidRPr="000E700A">
        <w:rPr>
          <w:sz w:val="24"/>
          <w:szCs w:val="24"/>
        </w:rPr>
        <w:t>otvorenih</w:t>
      </w:r>
      <w:proofErr w:type="spellEnd"/>
      <w:r w:rsidRPr="000E700A">
        <w:rPr>
          <w:sz w:val="24"/>
          <w:szCs w:val="24"/>
        </w:rPr>
        <w:t xml:space="preserve"> online </w:t>
      </w:r>
      <w:proofErr w:type="spellStart"/>
      <w:r w:rsidRPr="000E700A">
        <w:rPr>
          <w:sz w:val="24"/>
          <w:szCs w:val="24"/>
        </w:rPr>
        <w:t>tečajeva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drugih</w:t>
      </w:r>
      <w:proofErr w:type="spellEnd"/>
      <w:r w:rsidRPr="000E700A">
        <w:rPr>
          <w:sz w:val="24"/>
          <w:szCs w:val="24"/>
        </w:rPr>
        <w:t xml:space="preserve"> </w:t>
      </w:r>
      <w:proofErr w:type="spellStart"/>
      <w:r w:rsidRPr="000E700A">
        <w:rPr>
          <w:sz w:val="24"/>
          <w:szCs w:val="24"/>
        </w:rPr>
        <w:t>vrsta</w:t>
      </w:r>
      <w:proofErr w:type="spellEnd"/>
      <w:r w:rsidRPr="000E700A">
        <w:rPr>
          <w:sz w:val="24"/>
          <w:szCs w:val="24"/>
        </w:rPr>
        <w:t xml:space="preserve"> online </w:t>
      </w:r>
      <w:proofErr w:type="spellStart"/>
      <w:r w:rsidRPr="000E700A">
        <w:rPr>
          <w:sz w:val="24"/>
          <w:szCs w:val="24"/>
        </w:rPr>
        <w:t>obrazovnih</w:t>
      </w:r>
      <w:proofErr w:type="spellEnd"/>
      <w:r w:rsidRPr="000E700A">
        <w:rPr>
          <w:sz w:val="24"/>
          <w:szCs w:val="24"/>
        </w:rPr>
        <w:t xml:space="preserve"> </w:t>
      </w:r>
      <w:proofErr w:type="spellStart"/>
      <w:r w:rsidRPr="000E700A">
        <w:rPr>
          <w:sz w:val="24"/>
          <w:szCs w:val="24"/>
        </w:rPr>
        <w:t>programa</w:t>
      </w:r>
      <w:proofErr w:type="spellEnd"/>
      <w:r w:rsidRPr="000E700A">
        <w:rPr>
          <w:sz w:val="24"/>
          <w:szCs w:val="24"/>
        </w:rPr>
        <w:t xml:space="preserve">, </w:t>
      </w:r>
      <w:proofErr w:type="spellStart"/>
      <w:r w:rsidRPr="000E700A">
        <w:rPr>
          <w:sz w:val="24"/>
          <w:szCs w:val="24"/>
        </w:rPr>
        <w:t>kao</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istraživačke</w:t>
      </w:r>
      <w:proofErr w:type="spellEnd"/>
      <w:r w:rsidRPr="000E700A">
        <w:rPr>
          <w:sz w:val="24"/>
          <w:szCs w:val="24"/>
        </w:rPr>
        <w:t xml:space="preserve"> </w:t>
      </w:r>
      <w:proofErr w:type="spellStart"/>
      <w:r w:rsidRPr="000E700A">
        <w:rPr>
          <w:sz w:val="24"/>
          <w:szCs w:val="24"/>
        </w:rPr>
        <w:t>intervencije</w:t>
      </w:r>
      <w:proofErr w:type="spellEnd"/>
      <w:r w:rsidRPr="000E700A">
        <w:rPr>
          <w:sz w:val="24"/>
          <w:szCs w:val="24"/>
        </w:rPr>
        <w:t xml:space="preserve"> </w:t>
      </w:r>
      <w:proofErr w:type="spellStart"/>
      <w:r w:rsidRPr="000E700A">
        <w:rPr>
          <w:sz w:val="24"/>
          <w:szCs w:val="24"/>
        </w:rPr>
        <w:t>koje</w:t>
      </w:r>
      <w:proofErr w:type="spellEnd"/>
      <w:r w:rsidRPr="000E700A">
        <w:rPr>
          <w:sz w:val="24"/>
          <w:szCs w:val="24"/>
        </w:rPr>
        <w:t xml:space="preserve"> za </w:t>
      </w:r>
      <w:proofErr w:type="spellStart"/>
      <w:r w:rsidRPr="000E700A">
        <w:rPr>
          <w:sz w:val="24"/>
          <w:szCs w:val="24"/>
        </w:rPr>
        <w:t>cilj</w:t>
      </w:r>
      <w:proofErr w:type="spellEnd"/>
      <w:r w:rsidRPr="000E700A">
        <w:rPr>
          <w:sz w:val="24"/>
          <w:szCs w:val="24"/>
        </w:rPr>
        <w:t xml:space="preserve"> </w:t>
      </w:r>
      <w:proofErr w:type="spellStart"/>
      <w:r w:rsidRPr="000E700A">
        <w:rPr>
          <w:sz w:val="24"/>
          <w:szCs w:val="24"/>
        </w:rPr>
        <w:t>imaju</w:t>
      </w:r>
      <w:proofErr w:type="spellEnd"/>
      <w:r w:rsidRPr="000E700A">
        <w:rPr>
          <w:sz w:val="24"/>
          <w:szCs w:val="24"/>
        </w:rPr>
        <w:t xml:space="preserve"> </w:t>
      </w:r>
      <w:proofErr w:type="spellStart"/>
      <w:r w:rsidRPr="000E700A">
        <w:rPr>
          <w:sz w:val="24"/>
          <w:szCs w:val="24"/>
        </w:rPr>
        <w:t>prikupljanje</w:t>
      </w:r>
      <w:proofErr w:type="spellEnd"/>
      <w:r w:rsidRPr="000E700A">
        <w:rPr>
          <w:sz w:val="24"/>
          <w:szCs w:val="24"/>
        </w:rPr>
        <w:t xml:space="preserve"> </w:t>
      </w:r>
      <w:proofErr w:type="spellStart"/>
      <w:r w:rsidRPr="000E700A">
        <w:rPr>
          <w:sz w:val="24"/>
          <w:szCs w:val="24"/>
        </w:rPr>
        <w:t>podataka</w:t>
      </w:r>
      <w:proofErr w:type="spellEnd"/>
      <w:r w:rsidRPr="000E700A">
        <w:rPr>
          <w:sz w:val="24"/>
          <w:szCs w:val="24"/>
        </w:rPr>
        <w:t xml:space="preserve"> o </w:t>
      </w:r>
      <w:proofErr w:type="spellStart"/>
      <w:r w:rsidRPr="000E700A">
        <w:rPr>
          <w:sz w:val="24"/>
          <w:szCs w:val="24"/>
        </w:rPr>
        <w:t>utjecaju</w:t>
      </w:r>
      <w:proofErr w:type="spellEnd"/>
      <w:r w:rsidRPr="000E700A">
        <w:rPr>
          <w:sz w:val="24"/>
          <w:szCs w:val="24"/>
        </w:rPr>
        <w:t xml:space="preserve"> IKT-a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odgojno-obrazovni</w:t>
      </w:r>
      <w:proofErr w:type="spellEnd"/>
      <w:r w:rsidRPr="000E700A">
        <w:rPr>
          <w:sz w:val="24"/>
          <w:szCs w:val="24"/>
        </w:rPr>
        <w:t xml:space="preserve"> </w:t>
      </w:r>
      <w:proofErr w:type="spellStart"/>
      <w:r w:rsidRPr="000E700A">
        <w:rPr>
          <w:sz w:val="24"/>
          <w:szCs w:val="24"/>
        </w:rPr>
        <w:t>proces</w:t>
      </w:r>
      <w:proofErr w:type="spellEnd"/>
      <w:r w:rsidRPr="000E700A">
        <w:rPr>
          <w:sz w:val="24"/>
          <w:szCs w:val="24"/>
        </w:rPr>
        <w:t xml:space="preserve"> u </w:t>
      </w:r>
      <w:proofErr w:type="spellStart"/>
      <w:r w:rsidRPr="000E700A">
        <w:rPr>
          <w:sz w:val="24"/>
          <w:szCs w:val="24"/>
        </w:rPr>
        <w:t>skladu</w:t>
      </w:r>
      <w:proofErr w:type="spellEnd"/>
      <w:r w:rsidRPr="000E700A">
        <w:rPr>
          <w:sz w:val="24"/>
          <w:szCs w:val="24"/>
        </w:rPr>
        <w:t xml:space="preserve"> s </w:t>
      </w:r>
      <w:proofErr w:type="spellStart"/>
      <w:r w:rsidRPr="000E700A">
        <w:rPr>
          <w:sz w:val="24"/>
          <w:szCs w:val="24"/>
        </w:rPr>
        <w:t>definiranim</w:t>
      </w:r>
      <w:proofErr w:type="spellEnd"/>
      <w:r w:rsidRPr="000E700A">
        <w:rPr>
          <w:sz w:val="24"/>
          <w:szCs w:val="24"/>
        </w:rPr>
        <w:t xml:space="preserve"> </w:t>
      </w:r>
      <w:proofErr w:type="spellStart"/>
      <w:r w:rsidRPr="000E700A">
        <w:rPr>
          <w:sz w:val="24"/>
          <w:szCs w:val="24"/>
        </w:rPr>
        <w:t>ciljevima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mjerama</w:t>
      </w:r>
      <w:proofErr w:type="spellEnd"/>
      <w:r w:rsidRPr="000E700A">
        <w:rPr>
          <w:sz w:val="24"/>
          <w:szCs w:val="24"/>
        </w:rPr>
        <w:t xml:space="preserve"> </w:t>
      </w:r>
      <w:proofErr w:type="spellStart"/>
      <w:r w:rsidRPr="000E700A">
        <w:rPr>
          <w:sz w:val="24"/>
          <w:szCs w:val="24"/>
        </w:rPr>
        <w:t>Strategije</w:t>
      </w:r>
      <w:proofErr w:type="spellEnd"/>
      <w:r w:rsidRPr="000E700A">
        <w:rPr>
          <w:sz w:val="24"/>
          <w:szCs w:val="24"/>
        </w:rPr>
        <w:t xml:space="preserve"> </w:t>
      </w:r>
      <w:proofErr w:type="spellStart"/>
      <w:r w:rsidRPr="000E700A">
        <w:rPr>
          <w:sz w:val="24"/>
          <w:szCs w:val="24"/>
        </w:rPr>
        <w:t>obrazovanja</w:t>
      </w:r>
      <w:proofErr w:type="spellEnd"/>
      <w:r w:rsidRPr="000E700A">
        <w:rPr>
          <w:sz w:val="24"/>
          <w:szCs w:val="24"/>
        </w:rPr>
        <w:t xml:space="preserve">, </w:t>
      </w:r>
      <w:proofErr w:type="spellStart"/>
      <w:r w:rsidRPr="000E700A">
        <w:rPr>
          <w:sz w:val="24"/>
          <w:szCs w:val="24"/>
        </w:rPr>
        <w:t>znanosti</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tehnologije</w:t>
      </w:r>
      <w:proofErr w:type="spellEnd"/>
      <w:r w:rsidRPr="000E700A">
        <w:rPr>
          <w:sz w:val="24"/>
          <w:szCs w:val="24"/>
        </w:rPr>
        <w:t>.</w:t>
      </w:r>
    </w:p>
    <w:p w14:paraId="01DE7208" w14:textId="77777777" w:rsidR="00CC2DDC" w:rsidRPr="000E700A" w:rsidRDefault="00CC2DDC" w:rsidP="00324432">
      <w:pPr>
        <w:spacing w:line="360" w:lineRule="auto"/>
        <w:jc w:val="both"/>
        <w:rPr>
          <w:b/>
          <w:sz w:val="24"/>
          <w:szCs w:val="24"/>
          <w:lang w:val="hr-HR"/>
        </w:rPr>
      </w:pPr>
    </w:p>
    <w:p w14:paraId="0DB16FA4" w14:textId="073B9515" w:rsidR="00324432" w:rsidRPr="000E700A" w:rsidRDefault="003658C5" w:rsidP="000D08CE">
      <w:pPr>
        <w:pStyle w:val="ListParagraph"/>
        <w:numPr>
          <w:ilvl w:val="0"/>
          <w:numId w:val="2"/>
        </w:numPr>
        <w:spacing w:line="360" w:lineRule="auto"/>
        <w:jc w:val="both"/>
        <w:rPr>
          <w:b/>
          <w:sz w:val="24"/>
          <w:szCs w:val="24"/>
          <w:lang w:val="hr-HR"/>
        </w:rPr>
      </w:pPr>
      <w:r w:rsidRPr="000E700A">
        <w:rPr>
          <w:b/>
          <w:sz w:val="24"/>
          <w:szCs w:val="24"/>
          <w:lang w:val="hr-HR"/>
        </w:rPr>
        <w:t>PRIHODI POSLOVANJA</w:t>
      </w:r>
    </w:p>
    <w:p w14:paraId="3434FE39" w14:textId="77777777" w:rsidR="00324432" w:rsidRPr="000E700A" w:rsidRDefault="00324432" w:rsidP="00324432">
      <w:pPr>
        <w:spacing w:line="360" w:lineRule="auto"/>
        <w:jc w:val="both"/>
        <w:rPr>
          <w:b/>
          <w:sz w:val="24"/>
          <w:szCs w:val="24"/>
          <w:lang w:val="hr-HR"/>
        </w:rPr>
      </w:pPr>
    </w:p>
    <w:p w14:paraId="564A3422" w14:textId="608313AC" w:rsidR="00CC2DDC" w:rsidRPr="000E700A" w:rsidRDefault="000D08CE" w:rsidP="000D08CE">
      <w:pPr>
        <w:spacing w:line="360" w:lineRule="auto"/>
        <w:jc w:val="both"/>
        <w:rPr>
          <w:sz w:val="24"/>
          <w:szCs w:val="24"/>
        </w:rPr>
      </w:pPr>
      <w:proofErr w:type="spellStart"/>
      <w:r w:rsidRPr="000E700A">
        <w:rPr>
          <w:sz w:val="24"/>
          <w:szCs w:val="24"/>
        </w:rPr>
        <w:t>Ukupni</w:t>
      </w:r>
      <w:proofErr w:type="spellEnd"/>
      <w:r w:rsidRPr="000E700A">
        <w:rPr>
          <w:sz w:val="24"/>
          <w:szCs w:val="24"/>
        </w:rPr>
        <w:t xml:space="preserve"> </w:t>
      </w:r>
      <w:proofErr w:type="spellStart"/>
      <w:r w:rsidRPr="000E700A">
        <w:rPr>
          <w:sz w:val="24"/>
          <w:szCs w:val="24"/>
        </w:rPr>
        <w:t>prihodi</w:t>
      </w:r>
      <w:proofErr w:type="spellEnd"/>
      <w:r w:rsidRPr="000E700A">
        <w:rPr>
          <w:sz w:val="24"/>
          <w:szCs w:val="24"/>
        </w:rPr>
        <w:t xml:space="preserve"> </w:t>
      </w:r>
      <w:proofErr w:type="spellStart"/>
      <w:r w:rsidRPr="000E700A">
        <w:rPr>
          <w:sz w:val="24"/>
          <w:szCs w:val="24"/>
        </w:rPr>
        <w:t>Hrvatske</w:t>
      </w:r>
      <w:proofErr w:type="spellEnd"/>
      <w:r w:rsidRPr="000E700A">
        <w:rPr>
          <w:sz w:val="24"/>
          <w:szCs w:val="24"/>
        </w:rPr>
        <w:t xml:space="preserve"> </w:t>
      </w:r>
      <w:proofErr w:type="spellStart"/>
      <w:r w:rsidRPr="000E700A">
        <w:rPr>
          <w:sz w:val="24"/>
          <w:szCs w:val="24"/>
        </w:rPr>
        <w:t>akademske</w:t>
      </w:r>
      <w:proofErr w:type="spellEnd"/>
      <w:r w:rsidRPr="000E700A">
        <w:rPr>
          <w:sz w:val="24"/>
          <w:szCs w:val="24"/>
        </w:rPr>
        <w:t xml:space="preserve"> </w:t>
      </w:r>
      <w:proofErr w:type="spellStart"/>
      <w:r w:rsidRPr="000E700A">
        <w:rPr>
          <w:sz w:val="24"/>
          <w:szCs w:val="24"/>
        </w:rPr>
        <w:t>istraživačke</w:t>
      </w:r>
      <w:proofErr w:type="spellEnd"/>
      <w:r w:rsidRPr="000E700A">
        <w:rPr>
          <w:sz w:val="24"/>
          <w:szCs w:val="24"/>
        </w:rPr>
        <w:t xml:space="preserve"> </w:t>
      </w:r>
      <w:proofErr w:type="spellStart"/>
      <w:r w:rsidRPr="000E700A">
        <w:rPr>
          <w:sz w:val="24"/>
          <w:szCs w:val="24"/>
        </w:rPr>
        <w:t>mreže</w:t>
      </w:r>
      <w:proofErr w:type="spellEnd"/>
      <w:r w:rsidRPr="000E700A">
        <w:rPr>
          <w:sz w:val="24"/>
          <w:szCs w:val="24"/>
        </w:rPr>
        <w:t xml:space="preserve"> - CARNET u 202</w:t>
      </w:r>
      <w:r w:rsidR="006950CC" w:rsidRPr="000E700A">
        <w:rPr>
          <w:sz w:val="24"/>
          <w:szCs w:val="24"/>
        </w:rPr>
        <w:t>4</w:t>
      </w:r>
      <w:r w:rsidRPr="000E700A">
        <w:rPr>
          <w:sz w:val="24"/>
          <w:szCs w:val="24"/>
        </w:rPr>
        <w:t xml:space="preserve">. </w:t>
      </w:r>
      <w:proofErr w:type="spellStart"/>
      <w:r w:rsidRPr="000E700A">
        <w:rPr>
          <w:sz w:val="24"/>
          <w:szCs w:val="24"/>
        </w:rPr>
        <w:t>godin</w:t>
      </w:r>
      <w:r w:rsidR="00203FBD" w:rsidRPr="000E700A">
        <w:rPr>
          <w:sz w:val="24"/>
          <w:szCs w:val="24"/>
        </w:rPr>
        <w:t>i</w:t>
      </w:r>
      <w:proofErr w:type="spellEnd"/>
      <w:r w:rsidRPr="000E700A">
        <w:rPr>
          <w:sz w:val="24"/>
          <w:szCs w:val="24"/>
        </w:rPr>
        <w:t xml:space="preserve"> </w:t>
      </w:r>
      <w:proofErr w:type="spellStart"/>
      <w:r w:rsidRPr="000E700A">
        <w:rPr>
          <w:sz w:val="24"/>
          <w:szCs w:val="24"/>
        </w:rPr>
        <w:t>ostvareni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w:t>
      </w:r>
      <w:r w:rsidR="00050112" w:rsidRPr="000E700A">
        <w:rPr>
          <w:sz w:val="24"/>
          <w:szCs w:val="24"/>
        </w:rPr>
        <w:t>32.052.233,82</w:t>
      </w:r>
      <w:r w:rsidRPr="000E700A">
        <w:rPr>
          <w:sz w:val="24"/>
          <w:szCs w:val="24"/>
        </w:rPr>
        <w:t xml:space="preserve"> </w:t>
      </w:r>
      <w:r w:rsidR="00F54C01" w:rsidRPr="000E700A">
        <w:rPr>
          <w:sz w:val="24"/>
          <w:szCs w:val="24"/>
        </w:rPr>
        <w:t>EUR</w:t>
      </w:r>
      <w:r w:rsidRPr="000E700A">
        <w:rPr>
          <w:sz w:val="24"/>
          <w:szCs w:val="24"/>
        </w:rPr>
        <w:t xml:space="preserve"> </w:t>
      </w:r>
      <w:proofErr w:type="spellStart"/>
      <w:r w:rsidRPr="000E700A">
        <w:rPr>
          <w:sz w:val="24"/>
          <w:szCs w:val="24"/>
        </w:rPr>
        <w:t>odnosno</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razini</w:t>
      </w:r>
      <w:proofErr w:type="spellEnd"/>
      <w:r w:rsidRPr="000E700A">
        <w:rPr>
          <w:sz w:val="24"/>
          <w:szCs w:val="24"/>
        </w:rPr>
        <w:t xml:space="preserve"> od</w:t>
      </w:r>
      <w:r w:rsidR="00050112" w:rsidRPr="000E700A">
        <w:rPr>
          <w:sz w:val="24"/>
          <w:szCs w:val="24"/>
        </w:rPr>
        <w:t xml:space="preserve"> 100</w:t>
      </w:r>
      <w:r w:rsidR="00203FBD" w:rsidRPr="000E700A">
        <w:rPr>
          <w:sz w:val="24"/>
          <w:szCs w:val="24"/>
        </w:rPr>
        <w:t>,</w:t>
      </w:r>
      <w:r w:rsidR="00050112" w:rsidRPr="000E700A">
        <w:rPr>
          <w:sz w:val="24"/>
          <w:szCs w:val="24"/>
        </w:rPr>
        <w:t>86</w:t>
      </w:r>
      <w:r w:rsidRPr="000E700A">
        <w:rPr>
          <w:sz w:val="24"/>
          <w:szCs w:val="24"/>
        </w:rPr>
        <w:t xml:space="preserve">% plana. </w:t>
      </w:r>
    </w:p>
    <w:p w14:paraId="014066D4" w14:textId="4115F86D" w:rsidR="00324432" w:rsidRPr="000E700A" w:rsidRDefault="00324432" w:rsidP="00324432">
      <w:pPr>
        <w:spacing w:line="360" w:lineRule="auto"/>
        <w:jc w:val="both"/>
        <w:rPr>
          <w:sz w:val="24"/>
          <w:szCs w:val="24"/>
        </w:rPr>
      </w:pPr>
      <w:proofErr w:type="spellStart"/>
      <w:r w:rsidRPr="000E700A">
        <w:rPr>
          <w:sz w:val="24"/>
          <w:szCs w:val="24"/>
        </w:rPr>
        <w:t>Najznačajnije</w:t>
      </w:r>
      <w:proofErr w:type="spellEnd"/>
      <w:r w:rsidRPr="000E700A">
        <w:rPr>
          <w:sz w:val="24"/>
          <w:szCs w:val="24"/>
        </w:rPr>
        <w:t xml:space="preserve"> </w:t>
      </w:r>
      <w:proofErr w:type="spellStart"/>
      <w:r w:rsidRPr="000E700A">
        <w:rPr>
          <w:sz w:val="24"/>
          <w:szCs w:val="24"/>
        </w:rPr>
        <w:t>stavke</w:t>
      </w:r>
      <w:proofErr w:type="spellEnd"/>
      <w:r w:rsidRPr="000E700A">
        <w:rPr>
          <w:sz w:val="24"/>
          <w:szCs w:val="24"/>
        </w:rPr>
        <w:t xml:space="preserve"> </w:t>
      </w:r>
      <w:proofErr w:type="spellStart"/>
      <w:r w:rsidRPr="000E700A">
        <w:rPr>
          <w:sz w:val="24"/>
          <w:szCs w:val="24"/>
        </w:rPr>
        <w:t>prihoda</w:t>
      </w:r>
      <w:proofErr w:type="spellEnd"/>
      <w:r w:rsidRPr="000E700A">
        <w:rPr>
          <w:sz w:val="24"/>
          <w:szCs w:val="24"/>
        </w:rPr>
        <w:t xml:space="preserve"> </w:t>
      </w:r>
      <w:proofErr w:type="spellStart"/>
      <w:r w:rsidRPr="000E700A">
        <w:rPr>
          <w:sz w:val="24"/>
          <w:szCs w:val="24"/>
        </w:rPr>
        <w:t>poslovanja</w:t>
      </w:r>
      <w:proofErr w:type="spellEnd"/>
      <w:r w:rsidR="00FA0FEA" w:rsidRPr="000E700A">
        <w:rPr>
          <w:sz w:val="24"/>
          <w:szCs w:val="24"/>
        </w:rPr>
        <w:t xml:space="preserve"> u </w:t>
      </w:r>
      <w:proofErr w:type="spellStart"/>
      <w:r w:rsidR="00FA0FEA" w:rsidRPr="000E700A">
        <w:rPr>
          <w:sz w:val="24"/>
          <w:szCs w:val="24"/>
        </w:rPr>
        <w:t>smislu</w:t>
      </w:r>
      <w:proofErr w:type="spellEnd"/>
      <w:r w:rsidR="00FA0FEA" w:rsidRPr="000E700A">
        <w:rPr>
          <w:sz w:val="24"/>
          <w:szCs w:val="24"/>
        </w:rPr>
        <w:t xml:space="preserve"> </w:t>
      </w:r>
      <w:proofErr w:type="spellStart"/>
      <w:r w:rsidR="00FA0FEA" w:rsidRPr="000E700A">
        <w:rPr>
          <w:sz w:val="24"/>
          <w:szCs w:val="24"/>
        </w:rPr>
        <w:t>izvršenja</w:t>
      </w:r>
      <w:proofErr w:type="spellEnd"/>
      <w:r w:rsidR="00FA0FEA" w:rsidRPr="000E700A">
        <w:rPr>
          <w:sz w:val="24"/>
          <w:szCs w:val="24"/>
        </w:rPr>
        <w:t xml:space="preserve"> </w:t>
      </w:r>
      <w:proofErr w:type="spellStart"/>
      <w:r w:rsidR="000D08CE" w:rsidRPr="000E700A">
        <w:rPr>
          <w:sz w:val="24"/>
          <w:szCs w:val="24"/>
        </w:rPr>
        <w:t>su</w:t>
      </w:r>
      <w:proofErr w:type="spellEnd"/>
      <w:r w:rsidR="000D08CE" w:rsidRPr="000E700A">
        <w:rPr>
          <w:sz w:val="24"/>
          <w:szCs w:val="24"/>
        </w:rPr>
        <w:t xml:space="preserve"> </w:t>
      </w:r>
      <w:proofErr w:type="spellStart"/>
      <w:r w:rsidR="000D08CE" w:rsidRPr="000E700A">
        <w:rPr>
          <w:sz w:val="24"/>
          <w:szCs w:val="24"/>
        </w:rPr>
        <w:t>sljedeće</w:t>
      </w:r>
      <w:proofErr w:type="spellEnd"/>
      <w:r w:rsidR="000D08CE" w:rsidRPr="000E700A">
        <w:rPr>
          <w:sz w:val="24"/>
          <w:szCs w:val="24"/>
        </w:rPr>
        <w:t>:</w:t>
      </w:r>
    </w:p>
    <w:p w14:paraId="725EC3A1" w14:textId="77777777" w:rsidR="00BA3260" w:rsidRPr="000E700A" w:rsidRDefault="00BA3260" w:rsidP="00324432">
      <w:pPr>
        <w:spacing w:line="360" w:lineRule="auto"/>
        <w:jc w:val="both"/>
        <w:rPr>
          <w:sz w:val="24"/>
          <w:szCs w:val="24"/>
        </w:rPr>
      </w:pPr>
    </w:p>
    <w:p w14:paraId="56E83DA3" w14:textId="69487731" w:rsidR="00FA0FEA" w:rsidRPr="000E700A" w:rsidRDefault="00BA3260" w:rsidP="003E4B05">
      <w:pPr>
        <w:jc w:val="both"/>
        <w:rPr>
          <w:b/>
          <w:bCs/>
          <w:sz w:val="24"/>
          <w:szCs w:val="24"/>
        </w:rPr>
      </w:pPr>
      <w:r w:rsidRPr="000E700A">
        <w:rPr>
          <w:b/>
          <w:bCs/>
          <w:sz w:val="24"/>
          <w:szCs w:val="24"/>
        </w:rPr>
        <w:t xml:space="preserve">Prihodi od </w:t>
      </w:r>
      <w:proofErr w:type="spellStart"/>
      <w:r w:rsidRPr="000E700A">
        <w:rPr>
          <w:b/>
          <w:bCs/>
          <w:sz w:val="24"/>
          <w:szCs w:val="24"/>
        </w:rPr>
        <w:t>pomoći</w:t>
      </w:r>
      <w:proofErr w:type="spellEnd"/>
      <w:r w:rsidR="003E4B05" w:rsidRPr="000E700A">
        <w:rPr>
          <w:b/>
          <w:bCs/>
          <w:sz w:val="24"/>
          <w:szCs w:val="24"/>
        </w:rPr>
        <w:t xml:space="preserve"> </w:t>
      </w:r>
      <w:proofErr w:type="spellStart"/>
      <w:r w:rsidR="003E4B05" w:rsidRPr="000E700A">
        <w:rPr>
          <w:b/>
          <w:bCs/>
          <w:sz w:val="24"/>
          <w:szCs w:val="24"/>
        </w:rPr>
        <w:t>iz</w:t>
      </w:r>
      <w:proofErr w:type="spellEnd"/>
      <w:r w:rsidR="003E4B05" w:rsidRPr="000E700A">
        <w:rPr>
          <w:b/>
          <w:bCs/>
          <w:sz w:val="24"/>
          <w:szCs w:val="24"/>
        </w:rPr>
        <w:t xml:space="preserve"> </w:t>
      </w:r>
      <w:proofErr w:type="spellStart"/>
      <w:r w:rsidR="003E4B05" w:rsidRPr="000E700A">
        <w:rPr>
          <w:b/>
          <w:bCs/>
          <w:sz w:val="24"/>
          <w:szCs w:val="24"/>
        </w:rPr>
        <w:t>inozemstva</w:t>
      </w:r>
      <w:proofErr w:type="spellEnd"/>
      <w:r w:rsidR="003E4B05" w:rsidRPr="000E700A">
        <w:rPr>
          <w:b/>
          <w:bCs/>
          <w:sz w:val="24"/>
          <w:szCs w:val="24"/>
        </w:rPr>
        <w:t xml:space="preserve"> </w:t>
      </w:r>
      <w:proofErr w:type="spellStart"/>
      <w:r w:rsidR="003E4B05" w:rsidRPr="000E700A">
        <w:rPr>
          <w:b/>
          <w:bCs/>
          <w:sz w:val="24"/>
          <w:szCs w:val="24"/>
        </w:rPr>
        <w:t>i</w:t>
      </w:r>
      <w:proofErr w:type="spellEnd"/>
      <w:r w:rsidR="003E4B05" w:rsidRPr="000E700A">
        <w:rPr>
          <w:b/>
          <w:bCs/>
          <w:sz w:val="24"/>
          <w:szCs w:val="24"/>
        </w:rPr>
        <w:t xml:space="preserve"> od </w:t>
      </w:r>
      <w:proofErr w:type="spellStart"/>
      <w:r w:rsidR="003E4B05" w:rsidRPr="000E700A">
        <w:rPr>
          <w:b/>
          <w:bCs/>
          <w:sz w:val="24"/>
          <w:szCs w:val="24"/>
        </w:rPr>
        <w:t>subjekata</w:t>
      </w:r>
      <w:proofErr w:type="spellEnd"/>
      <w:r w:rsidR="003E4B05" w:rsidRPr="000E700A">
        <w:rPr>
          <w:b/>
          <w:bCs/>
          <w:sz w:val="24"/>
          <w:szCs w:val="24"/>
        </w:rPr>
        <w:t xml:space="preserve"> </w:t>
      </w:r>
      <w:proofErr w:type="spellStart"/>
      <w:r w:rsidR="003E4B05" w:rsidRPr="000E700A">
        <w:rPr>
          <w:b/>
          <w:bCs/>
          <w:sz w:val="24"/>
          <w:szCs w:val="24"/>
        </w:rPr>
        <w:t>unutar</w:t>
      </w:r>
      <w:proofErr w:type="spellEnd"/>
      <w:r w:rsidR="003E4B05" w:rsidRPr="000E700A">
        <w:rPr>
          <w:b/>
          <w:bCs/>
          <w:sz w:val="24"/>
          <w:szCs w:val="24"/>
        </w:rPr>
        <w:t xml:space="preserve"> </w:t>
      </w:r>
      <w:proofErr w:type="spellStart"/>
      <w:r w:rsidR="003E4B05" w:rsidRPr="000E700A">
        <w:rPr>
          <w:b/>
          <w:bCs/>
          <w:sz w:val="24"/>
          <w:szCs w:val="24"/>
        </w:rPr>
        <w:t>općeg</w:t>
      </w:r>
      <w:proofErr w:type="spellEnd"/>
      <w:r w:rsidR="003E4B05" w:rsidRPr="000E700A">
        <w:rPr>
          <w:b/>
          <w:bCs/>
          <w:sz w:val="24"/>
          <w:szCs w:val="24"/>
        </w:rPr>
        <w:t xml:space="preserve"> </w:t>
      </w:r>
      <w:proofErr w:type="spellStart"/>
      <w:r w:rsidR="003E4B05" w:rsidRPr="000E700A">
        <w:rPr>
          <w:b/>
          <w:bCs/>
          <w:sz w:val="24"/>
          <w:szCs w:val="24"/>
        </w:rPr>
        <w:t>proračun</w:t>
      </w:r>
      <w:proofErr w:type="spellEnd"/>
      <w:r w:rsidRPr="000E700A">
        <w:rPr>
          <w:b/>
          <w:bCs/>
          <w:sz w:val="24"/>
          <w:szCs w:val="24"/>
        </w:rPr>
        <w:t xml:space="preserve"> (</w:t>
      </w:r>
      <w:proofErr w:type="spellStart"/>
      <w:r w:rsidRPr="000E700A">
        <w:rPr>
          <w:b/>
          <w:bCs/>
          <w:sz w:val="24"/>
          <w:szCs w:val="24"/>
        </w:rPr>
        <w:t>i</w:t>
      </w:r>
      <w:r w:rsidR="00FA0FEA" w:rsidRPr="000E700A">
        <w:rPr>
          <w:b/>
          <w:bCs/>
          <w:sz w:val="24"/>
          <w:szCs w:val="24"/>
        </w:rPr>
        <w:t>zvori</w:t>
      </w:r>
      <w:proofErr w:type="spellEnd"/>
      <w:r w:rsidR="00FA0FEA" w:rsidRPr="000E700A">
        <w:rPr>
          <w:b/>
          <w:bCs/>
          <w:sz w:val="24"/>
          <w:szCs w:val="24"/>
        </w:rPr>
        <w:t xml:space="preserve"> </w:t>
      </w:r>
      <w:proofErr w:type="spellStart"/>
      <w:r w:rsidR="00FA0FEA" w:rsidRPr="000E700A">
        <w:rPr>
          <w:b/>
          <w:bCs/>
          <w:sz w:val="24"/>
          <w:szCs w:val="24"/>
        </w:rPr>
        <w:t>financiranja</w:t>
      </w:r>
      <w:proofErr w:type="spellEnd"/>
      <w:r w:rsidR="00A649AA" w:rsidRPr="000E700A">
        <w:rPr>
          <w:b/>
          <w:bCs/>
          <w:sz w:val="24"/>
          <w:szCs w:val="24"/>
        </w:rPr>
        <w:t>:</w:t>
      </w:r>
      <w:r w:rsidR="00FA0FEA" w:rsidRPr="000E700A">
        <w:rPr>
          <w:b/>
          <w:bCs/>
          <w:sz w:val="24"/>
          <w:szCs w:val="24"/>
        </w:rPr>
        <w:t xml:space="preserve"> 56, 57, 58</w:t>
      </w:r>
      <w:r w:rsidRPr="000E700A">
        <w:rPr>
          <w:b/>
          <w:bCs/>
          <w:sz w:val="24"/>
          <w:szCs w:val="24"/>
        </w:rPr>
        <w:t>)</w:t>
      </w:r>
    </w:p>
    <w:p w14:paraId="1BB6B803" w14:textId="77777777" w:rsidR="009D51EF" w:rsidRPr="000E700A" w:rsidRDefault="009D51EF" w:rsidP="00324432">
      <w:pPr>
        <w:spacing w:line="360" w:lineRule="auto"/>
        <w:jc w:val="both"/>
        <w:rPr>
          <w:sz w:val="24"/>
          <w:szCs w:val="24"/>
        </w:rPr>
      </w:pPr>
    </w:p>
    <w:p w14:paraId="3A1EAFD7" w14:textId="385719B5" w:rsidR="002202BA" w:rsidRPr="000E700A" w:rsidRDefault="002202BA" w:rsidP="002202BA">
      <w:pPr>
        <w:spacing w:line="360" w:lineRule="auto"/>
        <w:jc w:val="both"/>
        <w:rPr>
          <w:sz w:val="24"/>
          <w:szCs w:val="24"/>
        </w:rPr>
      </w:pPr>
      <w:r w:rsidRPr="000E700A">
        <w:rPr>
          <w:sz w:val="24"/>
          <w:szCs w:val="24"/>
        </w:rPr>
        <w:t xml:space="preserve">6323 Tekuće </w:t>
      </w:r>
      <w:proofErr w:type="spellStart"/>
      <w:r w:rsidRPr="000E700A">
        <w:rPr>
          <w:sz w:val="24"/>
          <w:szCs w:val="24"/>
        </w:rPr>
        <w:t>pomoći</w:t>
      </w:r>
      <w:proofErr w:type="spellEnd"/>
      <w:r w:rsidRPr="000E700A">
        <w:rPr>
          <w:sz w:val="24"/>
          <w:szCs w:val="24"/>
        </w:rPr>
        <w:t xml:space="preserve"> </w:t>
      </w:r>
      <w:proofErr w:type="spellStart"/>
      <w:r w:rsidRPr="000E700A">
        <w:rPr>
          <w:sz w:val="24"/>
          <w:szCs w:val="24"/>
        </w:rPr>
        <w:t>o</w:t>
      </w:r>
      <w:r w:rsidR="000E700A">
        <w:rPr>
          <w:sz w:val="24"/>
          <w:szCs w:val="24"/>
        </w:rPr>
        <w:t>d</w:t>
      </w:r>
      <w:proofErr w:type="spellEnd"/>
      <w:r w:rsidRPr="000E700A">
        <w:rPr>
          <w:sz w:val="24"/>
          <w:szCs w:val="24"/>
        </w:rPr>
        <w:t xml:space="preserve"> </w:t>
      </w:r>
      <w:proofErr w:type="spellStart"/>
      <w:r w:rsidRPr="000E700A">
        <w:rPr>
          <w:sz w:val="24"/>
          <w:szCs w:val="24"/>
        </w:rPr>
        <w:t>institucija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tijela</w:t>
      </w:r>
      <w:proofErr w:type="spellEnd"/>
      <w:r w:rsidRPr="000E700A">
        <w:rPr>
          <w:sz w:val="24"/>
          <w:szCs w:val="24"/>
        </w:rPr>
        <w:t xml:space="preserve"> EU –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stavci</w:t>
      </w:r>
      <w:proofErr w:type="spellEnd"/>
      <w:r w:rsidRPr="000E700A">
        <w:rPr>
          <w:sz w:val="24"/>
          <w:szCs w:val="24"/>
        </w:rPr>
        <w:t xml:space="preserve"> </w:t>
      </w:r>
      <w:proofErr w:type="spellStart"/>
      <w:r w:rsidRPr="000E700A">
        <w:rPr>
          <w:sz w:val="24"/>
          <w:szCs w:val="24"/>
        </w:rPr>
        <w:t>tekućih</w:t>
      </w:r>
      <w:proofErr w:type="spellEnd"/>
      <w:r w:rsidRPr="000E700A">
        <w:rPr>
          <w:sz w:val="24"/>
          <w:szCs w:val="24"/>
        </w:rPr>
        <w:t xml:space="preserve"> </w:t>
      </w:r>
      <w:proofErr w:type="spellStart"/>
      <w:r w:rsidRPr="000E700A">
        <w:rPr>
          <w:sz w:val="24"/>
          <w:szCs w:val="24"/>
        </w:rPr>
        <w:t>pomoći</w:t>
      </w:r>
      <w:proofErr w:type="spellEnd"/>
      <w:r w:rsidRPr="000E700A">
        <w:rPr>
          <w:sz w:val="24"/>
          <w:szCs w:val="24"/>
        </w:rPr>
        <w:t xml:space="preserve"> </w:t>
      </w:r>
      <w:proofErr w:type="spellStart"/>
      <w:r w:rsidRPr="000E700A">
        <w:rPr>
          <w:sz w:val="24"/>
          <w:szCs w:val="24"/>
        </w:rPr>
        <w:t>od</w:t>
      </w:r>
      <w:proofErr w:type="spellEnd"/>
      <w:r w:rsidRPr="000E700A">
        <w:rPr>
          <w:sz w:val="24"/>
          <w:szCs w:val="24"/>
        </w:rPr>
        <w:t xml:space="preserve"> </w:t>
      </w:r>
      <w:proofErr w:type="spellStart"/>
      <w:r w:rsidRPr="000E700A">
        <w:rPr>
          <w:sz w:val="24"/>
          <w:szCs w:val="24"/>
        </w:rPr>
        <w:t>institucija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tijela</w:t>
      </w:r>
      <w:proofErr w:type="spellEnd"/>
      <w:r w:rsidRPr="000E700A">
        <w:rPr>
          <w:sz w:val="24"/>
          <w:szCs w:val="24"/>
        </w:rPr>
        <w:t xml:space="preserve"> EU </w:t>
      </w:r>
      <w:proofErr w:type="spellStart"/>
      <w:r w:rsidRPr="000E700A">
        <w:rPr>
          <w:sz w:val="24"/>
          <w:szCs w:val="24"/>
        </w:rPr>
        <w:t>ostvareni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w:t>
      </w:r>
      <w:proofErr w:type="spellStart"/>
      <w:r w:rsidRPr="000E700A">
        <w:rPr>
          <w:sz w:val="24"/>
          <w:szCs w:val="24"/>
        </w:rPr>
        <w:t>prihodi</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w:t>
      </w:r>
      <w:r w:rsidR="00EA1BE0" w:rsidRPr="000E700A">
        <w:rPr>
          <w:sz w:val="24"/>
          <w:szCs w:val="24"/>
        </w:rPr>
        <w:t>9.748</w:t>
      </w:r>
      <w:r w:rsidR="00F54C01" w:rsidRPr="000E700A">
        <w:rPr>
          <w:sz w:val="24"/>
          <w:szCs w:val="24"/>
        </w:rPr>
        <w:t>.706,79 EUR</w:t>
      </w:r>
      <w:r w:rsidRPr="000E700A">
        <w:rPr>
          <w:sz w:val="24"/>
          <w:szCs w:val="24"/>
        </w:rPr>
        <w:t xml:space="preserve">. </w:t>
      </w:r>
      <w:r w:rsidR="00F54C01" w:rsidRPr="000E700A">
        <w:rPr>
          <w:sz w:val="24"/>
          <w:szCs w:val="24"/>
        </w:rPr>
        <w:t xml:space="preserve"> </w:t>
      </w:r>
      <w:proofErr w:type="spellStart"/>
      <w:r w:rsidRPr="000E700A">
        <w:rPr>
          <w:sz w:val="24"/>
          <w:szCs w:val="24"/>
        </w:rPr>
        <w:t>Ukupno</w:t>
      </w:r>
      <w:proofErr w:type="spellEnd"/>
      <w:r w:rsidRPr="000E700A">
        <w:rPr>
          <w:sz w:val="24"/>
          <w:szCs w:val="24"/>
        </w:rPr>
        <w:t xml:space="preserve"> </w:t>
      </w:r>
      <w:proofErr w:type="spellStart"/>
      <w:r w:rsidRPr="000E700A">
        <w:rPr>
          <w:sz w:val="24"/>
          <w:szCs w:val="24"/>
        </w:rPr>
        <w:t>izvršenje</w:t>
      </w:r>
      <w:proofErr w:type="spellEnd"/>
      <w:r w:rsidRPr="000E700A">
        <w:rPr>
          <w:sz w:val="24"/>
          <w:szCs w:val="24"/>
        </w:rPr>
        <w:t xml:space="preserve"> </w:t>
      </w:r>
      <w:proofErr w:type="spellStart"/>
      <w:r w:rsidR="00844835" w:rsidRPr="000E700A">
        <w:rPr>
          <w:sz w:val="24"/>
          <w:szCs w:val="24"/>
        </w:rPr>
        <w:t>ove</w:t>
      </w:r>
      <w:proofErr w:type="spellEnd"/>
      <w:r w:rsidR="00844835" w:rsidRPr="000E700A">
        <w:rPr>
          <w:sz w:val="24"/>
          <w:szCs w:val="24"/>
        </w:rPr>
        <w:t xml:space="preserve"> </w:t>
      </w:r>
      <w:proofErr w:type="spellStart"/>
      <w:r w:rsidR="00844835" w:rsidRPr="000E700A">
        <w:rPr>
          <w:sz w:val="24"/>
          <w:szCs w:val="24"/>
        </w:rPr>
        <w:t>smanjeno</w:t>
      </w:r>
      <w:proofErr w:type="spellEnd"/>
      <w:r w:rsidR="00844835" w:rsidRPr="000E700A">
        <w:rPr>
          <w:sz w:val="24"/>
          <w:szCs w:val="24"/>
        </w:rPr>
        <w:t xml:space="preserve"> je</w:t>
      </w:r>
      <w:r w:rsidRPr="000E700A">
        <w:rPr>
          <w:sz w:val="24"/>
          <w:szCs w:val="24"/>
        </w:rPr>
        <w:t xml:space="preserve"> u </w:t>
      </w:r>
      <w:proofErr w:type="spellStart"/>
      <w:r w:rsidRPr="000E700A">
        <w:rPr>
          <w:sz w:val="24"/>
          <w:szCs w:val="24"/>
        </w:rPr>
        <w:t>odnosu</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isto</w:t>
      </w:r>
      <w:proofErr w:type="spellEnd"/>
      <w:r w:rsidRPr="000E700A">
        <w:rPr>
          <w:sz w:val="24"/>
          <w:szCs w:val="24"/>
        </w:rPr>
        <w:t xml:space="preserve"> </w:t>
      </w:r>
      <w:proofErr w:type="spellStart"/>
      <w:r w:rsidRPr="000E700A">
        <w:rPr>
          <w:sz w:val="24"/>
          <w:szCs w:val="24"/>
        </w:rPr>
        <w:t>razdoblje</w:t>
      </w:r>
      <w:proofErr w:type="spellEnd"/>
      <w:r w:rsidRPr="000E700A">
        <w:rPr>
          <w:sz w:val="24"/>
          <w:szCs w:val="24"/>
        </w:rPr>
        <w:t xml:space="preserve"> </w:t>
      </w:r>
      <w:proofErr w:type="spellStart"/>
      <w:r w:rsidRPr="000E700A">
        <w:rPr>
          <w:sz w:val="24"/>
          <w:szCs w:val="24"/>
        </w:rPr>
        <w:t>prethodne</w:t>
      </w:r>
      <w:proofErr w:type="spellEnd"/>
      <w:r w:rsidRPr="000E700A">
        <w:rPr>
          <w:sz w:val="24"/>
          <w:szCs w:val="24"/>
        </w:rPr>
        <w:t xml:space="preserve"> </w:t>
      </w:r>
      <w:proofErr w:type="spellStart"/>
      <w:r w:rsidRPr="000E700A">
        <w:rPr>
          <w:sz w:val="24"/>
          <w:szCs w:val="24"/>
        </w:rPr>
        <w:t>godine</w:t>
      </w:r>
      <w:proofErr w:type="spellEnd"/>
      <w:r w:rsidRPr="000E700A">
        <w:rPr>
          <w:sz w:val="24"/>
          <w:szCs w:val="24"/>
        </w:rPr>
        <w:t xml:space="preserve"> </w:t>
      </w:r>
      <w:proofErr w:type="spellStart"/>
      <w:r w:rsidRPr="000E700A">
        <w:rPr>
          <w:sz w:val="24"/>
          <w:szCs w:val="24"/>
        </w:rPr>
        <w:t>zbog</w:t>
      </w:r>
      <w:proofErr w:type="spellEnd"/>
      <w:r w:rsidRPr="000E700A">
        <w:rPr>
          <w:sz w:val="24"/>
          <w:szCs w:val="24"/>
        </w:rPr>
        <w:t xml:space="preserve"> </w:t>
      </w:r>
      <w:proofErr w:type="spellStart"/>
      <w:r w:rsidRPr="000E700A">
        <w:rPr>
          <w:sz w:val="24"/>
          <w:szCs w:val="24"/>
        </w:rPr>
        <w:t>završetka</w:t>
      </w:r>
      <w:proofErr w:type="spellEnd"/>
      <w:r w:rsidRPr="000E700A">
        <w:rPr>
          <w:sz w:val="24"/>
          <w:szCs w:val="24"/>
        </w:rPr>
        <w:t xml:space="preserve"> </w:t>
      </w:r>
      <w:proofErr w:type="spellStart"/>
      <w:r w:rsidRPr="000E700A">
        <w:rPr>
          <w:sz w:val="24"/>
          <w:szCs w:val="24"/>
        </w:rPr>
        <w:t>projekt</w:t>
      </w:r>
      <w:proofErr w:type="spellEnd"/>
      <w:r w:rsidRPr="000E700A">
        <w:rPr>
          <w:sz w:val="24"/>
          <w:szCs w:val="24"/>
        </w:rPr>
        <w:t xml:space="preserve"> „e-</w:t>
      </w:r>
      <w:proofErr w:type="spellStart"/>
      <w:r w:rsidRPr="000E700A">
        <w:rPr>
          <w:sz w:val="24"/>
          <w:szCs w:val="24"/>
        </w:rPr>
        <w:t>Škole</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sustava</w:t>
      </w:r>
      <w:proofErr w:type="spellEnd"/>
      <w:r w:rsidRPr="000E700A">
        <w:rPr>
          <w:sz w:val="24"/>
          <w:szCs w:val="24"/>
        </w:rPr>
        <w:t xml:space="preserve"> </w:t>
      </w:r>
      <w:proofErr w:type="spellStart"/>
      <w:r w:rsidRPr="000E700A">
        <w:rPr>
          <w:sz w:val="24"/>
          <w:szCs w:val="24"/>
        </w:rPr>
        <w:t>digitalno</w:t>
      </w:r>
      <w:proofErr w:type="spellEnd"/>
      <w:r w:rsidRPr="000E700A">
        <w:rPr>
          <w:sz w:val="24"/>
          <w:szCs w:val="24"/>
        </w:rPr>
        <w:t xml:space="preserve"> </w:t>
      </w:r>
      <w:proofErr w:type="spellStart"/>
      <w:r w:rsidRPr="000E700A">
        <w:rPr>
          <w:sz w:val="24"/>
          <w:szCs w:val="24"/>
        </w:rPr>
        <w:t>zrelih</w:t>
      </w:r>
      <w:proofErr w:type="spellEnd"/>
      <w:r w:rsidRPr="000E700A">
        <w:rPr>
          <w:sz w:val="24"/>
          <w:szCs w:val="24"/>
        </w:rPr>
        <w:t xml:space="preserve"> </w:t>
      </w:r>
      <w:proofErr w:type="spellStart"/>
      <w:r w:rsidRPr="000E700A">
        <w:rPr>
          <w:sz w:val="24"/>
          <w:szCs w:val="24"/>
        </w:rPr>
        <w:t>škola</w:t>
      </w:r>
      <w:proofErr w:type="spellEnd"/>
      <w:r w:rsidRPr="000E700A">
        <w:rPr>
          <w:sz w:val="24"/>
          <w:szCs w:val="24"/>
        </w:rPr>
        <w:t xml:space="preserve"> (II. </w:t>
      </w:r>
      <w:proofErr w:type="spellStart"/>
      <w:r w:rsidRPr="000E700A">
        <w:rPr>
          <w:sz w:val="24"/>
          <w:szCs w:val="24"/>
        </w:rPr>
        <w:t>faza</w:t>
      </w:r>
      <w:proofErr w:type="spellEnd"/>
      <w:r w:rsidRPr="000E700A">
        <w:rPr>
          <w:sz w:val="24"/>
          <w:szCs w:val="24"/>
        </w:rPr>
        <w:t>)”.</w:t>
      </w:r>
    </w:p>
    <w:p w14:paraId="1D0B9A87" w14:textId="6144C442" w:rsidR="00A40785" w:rsidRPr="000E700A" w:rsidRDefault="00B00B89" w:rsidP="00324432">
      <w:pPr>
        <w:spacing w:line="360" w:lineRule="auto"/>
        <w:jc w:val="both"/>
        <w:rPr>
          <w:sz w:val="24"/>
          <w:szCs w:val="24"/>
        </w:rPr>
      </w:pPr>
      <w:r w:rsidRPr="000E700A">
        <w:rPr>
          <w:sz w:val="24"/>
          <w:szCs w:val="24"/>
        </w:rPr>
        <w:lastRenderedPageBreak/>
        <w:t xml:space="preserve">6324 </w:t>
      </w:r>
      <w:proofErr w:type="spellStart"/>
      <w:r w:rsidRPr="000E700A">
        <w:rPr>
          <w:sz w:val="24"/>
          <w:szCs w:val="24"/>
        </w:rPr>
        <w:t>Kapitalne</w:t>
      </w:r>
      <w:proofErr w:type="spellEnd"/>
      <w:r w:rsidRPr="000E700A">
        <w:rPr>
          <w:sz w:val="24"/>
          <w:szCs w:val="24"/>
        </w:rPr>
        <w:t xml:space="preserve"> </w:t>
      </w:r>
      <w:proofErr w:type="spellStart"/>
      <w:r w:rsidRPr="000E700A">
        <w:rPr>
          <w:sz w:val="24"/>
          <w:szCs w:val="24"/>
        </w:rPr>
        <w:t>pomoći</w:t>
      </w:r>
      <w:proofErr w:type="spellEnd"/>
      <w:r w:rsidRPr="000E700A">
        <w:rPr>
          <w:sz w:val="24"/>
          <w:szCs w:val="24"/>
        </w:rPr>
        <w:t xml:space="preserve"> </w:t>
      </w:r>
      <w:proofErr w:type="spellStart"/>
      <w:r w:rsidRPr="000E700A">
        <w:rPr>
          <w:sz w:val="24"/>
          <w:szCs w:val="24"/>
        </w:rPr>
        <w:t>od</w:t>
      </w:r>
      <w:proofErr w:type="spellEnd"/>
      <w:r w:rsidRPr="000E700A">
        <w:rPr>
          <w:sz w:val="24"/>
          <w:szCs w:val="24"/>
        </w:rPr>
        <w:t xml:space="preserve"> </w:t>
      </w:r>
      <w:proofErr w:type="spellStart"/>
      <w:r w:rsidRPr="000E700A">
        <w:rPr>
          <w:sz w:val="24"/>
          <w:szCs w:val="24"/>
        </w:rPr>
        <w:t>institucija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tijela</w:t>
      </w:r>
      <w:proofErr w:type="spellEnd"/>
      <w:r w:rsidRPr="000E700A">
        <w:rPr>
          <w:sz w:val="24"/>
          <w:szCs w:val="24"/>
        </w:rPr>
        <w:t xml:space="preserve"> EU –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stavci</w:t>
      </w:r>
      <w:proofErr w:type="spellEnd"/>
      <w:r w:rsidRPr="000E700A">
        <w:rPr>
          <w:sz w:val="24"/>
          <w:szCs w:val="24"/>
        </w:rPr>
        <w:t xml:space="preserve"> </w:t>
      </w:r>
      <w:proofErr w:type="spellStart"/>
      <w:r w:rsidRPr="000E700A">
        <w:rPr>
          <w:sz w:val="24"/>
          <w:szCs w:val="24"/>
        </w:rPr>
        <w:t>kapitalnih</w:t>
      </w:r>
      <w:proofErr w:type="spellEnd"/>
      <w:r w:rsidRPr="000E700A">
        <w:rPr>
          <w:sz w:val="24"/>
          <w:szCs w:val="24"/>
        </w:rPr>
        <w:t xml:space="preserve"> </w:t>
      </w:r>
      <w:proofErr w:type="spellStart"/>
      <w:r w:rsidRPr="000E700A">
        <w:rPr>
          <w:sz w:val="24"/>
          <w:szCs w:val="24"/>
        </w:rPr>
        <w:t>pomoći</w:t>
      </w:r>
      <w:proofErr w:type="spellEnd"/>
      <w:r w:rsidRPr="000E700A">
        <w:rPr>
          <w:sz w:val="24"/>
          <w:szCs w:val="24"/>
        </w:rPr>
        <w:t xml:space="preserve"> </w:t>
      </w:r>
      <w:proofErr w:type="spellStart"/>
      <w:r w:rsidRPr="000E700A">
        <w:rPr>
          <w:sz w:val="24"/>
          <w:szCs w:val="24"/>
        </w:rPr>
        <w:t>o</w:t>
      </w:r>
      <w:r w:rsidR="00846B4C" w:rsidRPr="000E700A">
        <w:rPr>
          <w:sz w:val="24"/>
          <w:szCs w:val="24"/>
        </w:rPr>
        <w:t>d</w:t>
      </w:r>
      <w:proofErr w:type="spellEnd"/>
      <w:r w:rsidRPr="000E700A">
        <w:rPr>
          <w:sz w:val="24"/>
          <w:szCs w:val="24"/>
        </w:rPr>
        <w:t xml:space="preserve"> </w:t>
      </w:r>
      <w:proofErr w:type="spellStart"/>
      <w:r w:rsidRPr="000E700A">
        <w:rPr>
          <w:sz w:val="24"/>
          <w:szCs w:val="24"/>
        </w:rPr>
        <w:t>institucija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tijela</w:t>
      </w:r>
      <w:proofErr w:type="spellEnd"/>
      <w:r w:rsidRPr="000E700A">
        <w:rPr>
          <w:sz w:val="24"/>
          <w:szCs w:val="24"/>
        </w:rPr>
        <w:t xml:space="preserve"> EU </w:t>
      </w:r>
      <w:proofErr w:type="spellStart"/>
      <w:r w:rsidRPr="000E700A">
        <w:rPr>
          <w:sz w:val="24"/>
          <w:szCs w:val="24"/>
        </w:rPr>
        <w:t>ostvareni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w:t>
      </w:r>
      <w:proofErr w:type="spellStart"/>
      <w:r w:rsidRPr="000E700A">
        <w:rPr>
          <w:sz w:val="24"/>
          <w:szCs w:val="24"/>
        </w:rPr>
        <w:t>prihodi</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w:t>
      </w:r>
      <w:r w:rsidR="00814E08" w:rsidRPr="000E700A">
        <w:rPr>
          <w:sz w:val="24"/>
          <w:szCs w:val="24"/>
        </w:rPr>
        <w:t>1.798.084,14 EUR</w:t>
      </w:r>
      <w:r w:rsidR="008B508E" w:rsidRPr="000E700A">
        <w:rPr>
          <w:sz w:val="24"/>
          <w:szCs w:val="24"/>
        </w:rPr>
        <w:t xml:space="preserve">. </w:t>
      </w:r>
      <w:r w:rsidR="00844835" w:rsidRPr="000E700A">
        <w:rPr>
          <w:sz w:val="24"/>
          <w:szCs w:val="24"/>
        </w:rPr>
        <w:t xml:space="preserve">To </w:t>
      </w:r>
      <w:proofErr w:type="spellStart"/>
      <w:r w:rsidR="00844835" w:rsidRPr="000E700A">
        <w:rPr>
          <w:sz w:val="24"/>
          <w:szCs w:val="24"/>
        </w:rPr>
        <w:t>predstavlja</w:t>
      </w:r>
      <w:proofErr w:type="spellEnd"/>
      <w:r w:rsidR="00205F46" w:rsidRPr="000E700A">
        <w:rPr>
          <w:sz w:val="24"/>
          <w:szCs w:val="24"/>
        </w:rPr>
        <w:t xml:space="preserve"> </w:t>
      </w:r>
      <w:proofErr w:type="spellStart"/>
      <w:r w:rsidR="00205F46" w:rsidRPr="000E700A">
        <w:rPr>
          <w:sz w:val="24"/>
          <w:szCs w:val="24"/>
        </w:rPr>
        <w:t>značajno</w:t>
      </w:r>
      <w:proofErr w:type="spellEnd"/>
      <w:r w:rsidRPr="000E700A">
        <w:rPr>
          <w:sz w:val="24"/>
          <w:szCs w:val="24"/>
        </w:rPr>
        <w:t xml:space="preserve"> </w:t>
      </w:r>
      <w:proofErr w:type="spellStart"/>
      <w:r w:rsidR="00080D8A" w:rsidRPr="000E700A">
        <w:rPr>
          <w:sz w:val="24"/>
          <w:szCs w:val="24"/>
        </w:rPr>
        <w:t>smanjenje</w:t>
      </w:r>
      <w:proofErr w:type="spellEnd"/>
      <w:r w:rsidRPr="000E700A">
        <w:rPr>
          <w:sz w:val="24"/>
          <w:szCs w:val="24"/>
        </w:rPr>
        <w:t xml:space="preserve"> u </w:t>
      </w:r>
      <w:proofErr w:type="spellStart"/>
      <w:r w:rsidRPr="000E700A">
        <w:rPr>
          <w:sz w:val="24"/>
          <w:szCs w:val="24"/>
        </w:rPr>
        <w:t>odnosu</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isto</w:t>
      </w:r>
      <w:proofErr w:type="spellEnd"/>
      <w:r w:rsidRPr="000E700A">
        <w:rPr>
          <w:sz w:val="24"/>
          <w:szCs w:val="24"/>
        </w:rPr>
        <w:t xml:space="preserve"> </w:t>
      </w:r>
      <w:proofErr w:type="spellStart"/>
      <w:r w:rsidRPr="000E700A">
        <w:rPr>
          <w:sz w:val="24"/>
          <w:szCs w:val="24"/>
        </w:rPr>
        <w:t>razdoblje</w:t>
      </w:r>
      <w:proofErr w:type="spellEnd"/>
      <w:r w:rsidRPr="000E700A">
        <w:rPr>
          <w:sz w:val="24"/>
          <w:szCs w:val="24"/>
        </w:rPr>
        <w:t xml:space="preserve"> </w:t>
      </w:r>
      <w:proofErr w:type="spellStart"/>
      <w:r w:rsidRPr="000E700A">
        <w:rPr>
          <w:sz w:val="24"/>
          <w:szCs w:val="24"/>
        </w:rPr>
        <w:t>prethodne</w:t>
      </w:r>
      <w:proofErr w:type="spellEnd"/>
      <w:r w:rsidRPr="000E700A">
        <w:rPr>
          <w:sz w:val="24"/>
          <w:szCs w:val="24"/>
        </w:rPr>
        <w:t xml:space="preserve"> </w:t>
      </w:r>
      <w:proofErr w:type="spellStart"/>
      <w:r w:rsidRPr="000E700A">
        <w:rPr>
          <w:sz w:val="24"/>
          <w:szCs w:val="24"/>
        </w:rPr>
        <w:t>godine</w:t>
      </w:r>
      <w:proofErr w:type="spellEnd"/>
      <w:r w:rsidRPr="000E700A">
        <w:rPr>
          <w:sz w:val="24"/>
          <w:szCs w:val="24"/>
        </w:rPr>
        <w:t xml:space="preserve">, </w:t>
      </w:r>
      <w:proofErr w:type="spellStart"/>
      <w:r w:rsidR="00844835" w:rsidRPr="000E700A">
        <w:rPr>
          <w:sz w:val="24"/>
          <w:szCs w:val="24"/>
        </w:rPr>
        <w:t>uzrokovano</w:t>
      </w:r>
      <w:proofErr w:type="spellEnd"/>
      <w:r w:rsidR="00844835" w:rsidRPr="000E700A">
        <w:rPr>
          <w:sz w:val="24"/>
          <w:szCs w:val="24"/>
        </w:rPr>
        <w:t xml:space="preserve"> </w:t>
      </w:r>
      <w:proofErr w:type="spellStart"/>
      <w:r w:rsidR="00844835" w:rsidRPr="000E700A">
        <w:rPr>
          <w:sz w:val="24"/>
          <w:szCs w:val="24"/>
        </w:rPr>
        <w:t>završetkom</w:t>
      </w:r>
      <w:proofErr w:type="spellEnd"/>
      <w:r w:rsidR="00FA0FEA" w:rsidRPr="000E700A">
        <w:rPr>
          <w:sz w:val="24"/>
          <w:szCs w:val="24"/>
        </w:rPr>
        <w:t xml:space="preserve"> </w:t>
      </w:r>
      <w:proofErr w:type="spellStart"/>
      <w:r w:rsidR="00FA0FEA" w:rsidRPr="000E700A">
        <w:rPr>
          <w:sz w:val="24"/>
          <w:szCs w:val="24"/>
        </w:rPr>
        <w:t>projekt</w:t>
      </w:r>
      <w:r w:rsidR="00205F46" w:rsidRPr="000E700A">
        <w:rPr>
          <w:sz w:val="24"/>
          <w:szCs w:val="24"/>
        </w:rPr>
        <w:t>a</w:t>
      </w:r>
      <w:proofErr w:type="spellEnd"/>
      <w:r w:rsidR="00FA0FEA" w:rsidRPr="000E700A">
        <w:rPr>
          <w:sz w:val="24"/>
          <w:szCs w:val="24"/>
        </w:rPr>
        <w:t xml:space="preserve"> „e-</w:t>
      </w:r>
      <w:proofErr w:type="spellStart"/>
      <w:r w:rsidR="00FA0FEA" w:rsidRPr="000E700A">
        <w:rPr>
          <w:sz w:val="24"/>
          <w:szCs w:val="24"/>
        </w:rPr>
        <w:t>Škole</w:t>
      </w:r>
      <w:proofErr w:type="spellEnd"/>
      <w:r w:rsidR="00FA0FEA" w:rsidRPr="000E700A">
        <w:rPr>
          <w:sz w:val="24"/>
          <w:szCs w:val="24"/>
        </w:rPr>
        <w:t xml:space="preserve">: </w:t>
      </w:r>
      <w:proofErr w:type="spellStart"/>
      <w:r w:rsidR="00FA0FEA" w:rsidRPr="000E700A">
        <w:rPr>
          <w:sz w:val="24"/>
          <w:szCs w:val="24"/>
        </w:rPr>
        <w:t>Razvoj</w:t>
      </w:r>
      <w:proofErr w:type="spellEnd"/>
      <w:r w:rsidR="00FA0FEA" w:rsidRPr="000E700A">
        <w:rPr>
          <w:sz w:val="24"/>
          <w:szCs w:val="24"/>
        </w:rPr>
        <w:t xml:space="preserve"> </w:t>
      </w:r>
      <w:proofErr w:type="spellStart"/>
      <w:r w:rsidR="00FA0FEA" w:rsidRPr="000E700A">
        <w:rPr>
          <w:sz w:val="24"/>
          <w:szCs w:val="24"/>
        </w:rPr>
        <w:t>sustava</w:t>
      </w:r>
      <w:proofErr w:type="spellEnd"/>
      <w:r w:rsidR="00FA0FEA" w:rsidRPr="000E700A">
        <w:rPr>
          <w:sz w:val="24"/>
          <w:szCs w:val="24"/>
        </w:rPr>
        <w:t xml:space="preserve"> </w:t>
      </w:r>
      <w:proofErr w:type="spellStart"/>
      <w:r w:rsidR="00FA0FEA" w:rsidRPr="000E700A">
        <w:rPr>
          <w:sz w:val="24"/>
          <w:szCs w:val="24"/>
        </w:rPr>
        <w:t>digitalno</w:t>
      </w:r>
      <w:proofErr w:type="spellEnd"/>
      <w:r w:rsidR="00FA0FEA" w:rsidRPr="000E700A">
        <w:rPr>
          <w:sz w:val="24"/>
          <w:szCs w:val="24"/>
        </w:rPr>
        <w:t xml:space="preserve"> </w:t>
      </w:r>
      <w:proofErr w:type="spellStart"/>
      <w:r w:rsidR="00FA0FEA" w:rsidRPr="000E700A">
        <w:rPr>
          <w:sz w:val="24"/>
          <w:szCs w:val="24"/>
        </w:rPr>
        <w:t>zrelih</w:t>
      </w:r>
      <w:proofErr w:type="spellEnd"/>
      <w:r w:rsidR="00FA0FEA" w:rsidRPr="000E700A">
        <w:rPr>
          <w:sz w:val="24"/>
          <w:szCs w:val="24"/>
        </w:rPr>
        <w:t xml:space="preserve"> </w:t>
      </w:r>
      <w:proofErr w:type="spellStart"/>
      <w:r w:rsidR="00FA0FEA" w:rsidRPr="000E700A">
        <w:rPr>
          <w:sz w:val="24"/>
          <w:szCs w:val="24"/>
        </w:rPr>
        <w:t>škola</w:t>
      </w:r>
      <w:proofErr w:type="spellEnd"/>
      <w:r w:rsidR="00FA0FEA" w:rsidRPr="000E700A">
        <w:rPr>
          <w:sz w:val="24"/>
          <w:szCs w:val="24"/>
        </w:rPr>
        <w:t xml:space="preserve"> (II. </w:t>
      </w:r>
      <w:proofErr w:type="spellStart"/>
      <w:r w:rsidR="00FA0FEA" w:rsidRPr="000E700A">
        <w:rPr>
          <w:sz w:val="24"/>
          <w:szCs w:val="24"/>
        </w:rPr>
        <w:t>faza</w:t>
      </w:r>
      <w:proofErr w:type="spellEnd"/>
      <w:r w:rsidR="00FA0FEA" w:rsidRPr="000E700A">
        <w:rPr>
          <w:sz w:val="24"/>
          <w:szCs w:val="24"/>
        </w:rPr>
        <w:t>)”</w:t>
      </w:r>
      <w:r w:rsidR="00514716" w:rsidRPr="000E700A">
        <w:rPr>
          <w:sz w:val="24"/>
          <w:szCs w:val="24"/>
        </w:rPr>
        <w:t xml:space="preserve">. </w:t>
      </w:r>
    </w:p>
    <w:p w14:paraId="4E500489" w14:textId="77777777" w:rsidR="00BA3260" w:rsidRPr="000E700A" w:rsidRDefault="00BA3260" w:rsidP="00324432">
      <w:pPr>
        <w:spacing w:line="360" w:lineRule="auto"/>
        <w:jc w:val="both"/>
        <w:rPr>
          <w:sz w:val="24"/>
          <w:szCs w:val="24"/>
        </w:rPr>
      </w:pPr>
    </w:p>
    <w:p w14:paraId="781DCB74" w14:textId="3B68A15D" w:rsidR="00BA3260" w:rsidRPr="000E700A" w:rsidRDefault="00BA3260" w:rsidP="00BA3260">
      <w:pPr>
        <w:spacing w:line="360" w:lineRule="auto"/>
        <w:jc w:val="both"/>
        <w:rPr>
          <w:b/>
          <w:bCs/>
          <w:sz w:val="24"/>
          <w:szCs w:val="24"/>
        </w:rPr>
      </w:pPr>
      <w:r w:rsidRPr="000E700A">
        <w:rPr>
          <w:b/>
          <w:bCs/>
          <w:sz w:val="24"/>
          <w:szCs w:val="24"/>
        </w:rPr>
        <w:t xml:space="preserve">Prihodi od </w:t>
      </w:r>
      <w:proofErr w:type="spellStart"/>
      <w:r w:rsidRPr="000E700A">
        <w:rPr>
          <w:b/>
          <w:bCs/>
          <w:sz w:val="24"/>
          <w:szCs w:val="24"/>
        </w:rPr>
        <w:t>upravnih</w:t>
      </w:r>
      <w:proofErr w:type="spellEnd"/>
      <w:r w:rsidRPr="000E700A">
        <w:rPr>
          <w:b/>
          <w:bCs/>
          <w:sz w:val="24"/>
          <w:szCs w:val="24"/>
        </w:rPr>
        <w:t xml:space="preserve"> </w:t>
      </w:r>
      <w:proofErr w:type="spellStart"/>
      <w:r w:rsidRPr="000E700A">
        <w:rPr>
          <w:b/>
          <w:bCs/>
          <w:sz w:val="24"/>
          <w:szCs w:val="24"/>
        </w:rPr>
        <w:t>i</w:t>
      </w:r>
      <w:proofErr w:type="spellEnd"/>
      <w:r w:rsidRPr="000E700A">
        <w:rPr>
          <w:b/>
          <w:bCs/>
          <w:sz w:val="24"/>
          <w:szCs w:val="24"/>
        </w:rPr>
        <w:t xml:space="preserve"> </w:t>
      </w:r>
      <w:proofErr w:type="spellStart"/>
      <w:r w:rsidRPr="000E700A">
        <w:rPr>
          <w:b/>
          <w:bCs/>
          <w:sz w:val="24"/>
          <w:szCs w:val="24"/>
        </w:rPr>
        <w:t>administrativnih</w:t>
      </w:r>
      <w:proofErr w:type="spellEnd"/>
      <w:r w:rsidRPr="000E700A">
        <w:rPr>
          <w:b/>
          <w:bCs/>
          <w:sz w:val="24"/>
          <w:szCs w:val="24"/>
        </w:rPr>
        <w:t xml:space="preserve"> </w:t>
      </w:r>
      <w:proofErr w:type="spellStart"/>
      <w:r w:rsidRPr="000E700A">
        <w:rPr>
          <w:b/>
          <w:bCs/>
          <w:sz w:val="24"/>
          <w:szCs w:val="24"/>
        </w:rPr>
        <w:t>pristojbi</w:t>
      </w:r>
      <w:proofErr w:type="spellEnd"/>
      <w:r w:rsidRPr="000E700A">
        <w:rPr>
          <w:b/>
          <w:bCs/>
          <w:sz w:val="24"/>
          <w:szCs w:val="24"/>
        </w:rPr>
        <w:t xml:space="preserve">, </w:t>
      </w:r>
      <w:proofErr w:type="spellStart"/>
      <w:r w:rsidRPr="000E700A">
        <w:rPr>
          <w:b/>
          <w:bCs/>
          <w:sz w:val="24"/>
          <w:szCs w:val="24"/>
        </w:rPr>
        <w:t>pristojbi</w:t>
      </w:r>
      <w:proofErr w:type="spellEnd"/>
      <w:r w:rsidRPr="000E700A">
        <w:rPr>
          <w:b/>
          <w:bCs/>
          <w:sz w:val="24"/>
          <w:szCs w:val="24"/>
        </w:rPr>
        <w:t xml:space="preserve"> po </w:t>
      </w:r>
      <w:proofErr w:type="spellStart"/>
      <w:r w:rsidRPr="000E700A">
        <w:rPr>
          <w:b/>
          <w:bCs/>
          <w:sz w:val="24"/>
          <w:szCs w:val="24"/>
        </w:rPr>
        <w:t>posebnim</w:t>
      </w:r>
      <w:proofErr w:type="spellEnd"/>
      <w:r w:rsidRPr="000E700A">
        <w:rPr>
          <w:b/>
          <w:bCs/>
          <w:sz w:val="24"/>
          <w:szCs w:val="24"/>
        </w:rPr>
        <w:t xml:space="preserve"> </w:t>
      </w:r>
      <w:proofErr w:type="spellStart"/>
      <w:r w:rsidRPr="000E700A">
        <w:rPr>
          <w:b/>
          <w:bCs/>
          <w:sz w:val="24"/>
          <w:szCs w:val="24"/>
        </w:rPr>
        <w:t>propisima</w:t>
      </w:r>
      <w:proofErr w:type="spellEnd"/>
      <w:r w:rsidRPr="000E700A">
        <w:rPr>
          <w:b/>
          <w:bCs/>
          <w:sz w:val="24"/>
          <w:szCs w:val="24"/>
        </w:rPr>
        <w:t xml:space="preserve"> </w:t>
      </w:r>
      <w:proofErr w:type="spellStart"/>
      <w:r w:rsidRPr="000E700A">
        <w:rPr>
          <w:b/>
          <w:bCs/>
          <w:sz w:val="24"/>
          <w:szCs w:val="24"/>
        </w:rPr>
        <w:t>i</w:t>
      </w:r>
      <w:proofErr w:type="spellEnd"/>
      <w:r w:rsidRPr="000E700A">
        <w:rPr>
          <w:b/>
          <w:bCs/>
          <w:sz w:val="24"/>
          <w:szCs w:val="24"/>
        </w:rPr>
        <w:t xml:space="preserve"> </w:t>
      </w:r>
      <w:proofErr w:type="spellStart"/>
      <w:r w:rsidRPr="000E700A">
        <w:rPr>
          <w:b/>
          <w:bCs/>
          <w:sz w:val="24"/>
          <w:szCs w:val="24"/>
        </w:rPr>
        <w:t>naknada</w:t>
      </w:r>
      <w:proofErr w:type="spellEnd"/>
      <w:r w:rsidRPr="000E700A">
        <w:rPr>
          <w:b/>
          <w:bCs/>
          <w:sz w:val="24"/>
          <w:szCs w:val="24"/>
        </w:rPr>
        <w:t xml:space="preserve"> (</w:t>
      </w:r>
      <w:proofErr w:type="spellStart"/>
      <w:r w:rsidRPr="000E700A">
        <w:rPr>
          <w:b/>
          <w:bCs/>
          <w:sz w:val="24"/>
          <w:szCs w:val="24"/>
        </w:rPr>
        <w:t>izvori</w:t>
      </w:r>
      <w:proofErr w:type="spellEnd"/>
      <w:r w:rsidRPr="000E700A">
        <w:rPr>
          <w:b/>
          <w:bCs/>
          <w:sz w:val="24"/>
          <w:szCs w:val="24"/>
        </w:rPr>
        <w:t xml:space="preserve"> </w:t>
      </w:r>
      <w:proofErr w:type="spellStart"/>
      <w:r w:rsidRPr="000E700A">
        <w:rPr>
          <w:b/>
          <w:bCs/>
          <w:sz w:val="24"/>
          <w:szCs w:val="24"/>
        </w:rPr>
        <w:t>financiranja</w:t>
      </w:r>
      <w:proofErr w:type="spellEnd"/>
      <w:r w:rsidRPr="000E700A">
        <w:rPr>
          <w:b/>
          <w:bCs/>
          <w:sz w:val="24"/>
          <w:szCs w:val="24"/>
        </w:rPr>
        <w:t>: 43)</w:t>
      </w:r>
    </w:p>
    <w:p w14:paraId="76D17D39" w14:textId="77777777" w:rsidR="00A875D1" w:rsidRPr="000E700A" w:rsidRDefault="00A875D1" w:rsidP="00A875D1">
      <w:pPr>
        <w:spacing w:line="360" w:lineRule="auto"/>
        <w:jc w:val="both"/>
        <w:rPr>
          <w:b/>
          <w:bCs/>
          <w:sz w:val="24"/>
          <w:szCs w:val="24"/>
          <w:u w:val="single"/>
        </w:rPr>
      </w:pPr>
    </w:p>
    <w:p w14:paraId="5C7C5538" w14:textId="45084C65" w:rsidR="00A875D1" w:rsidRPr="000E700A" w:rsidRDefault="00A875D1" w:rsidP="00A875D1">
      <w:pPr>
        <w:spacing w:line="360" w:lineRule="auto"/>
        <w:jc w:val="both"/>
        <w:rPr>
          <w:sz w:val="24"/>
          <w:szCs w:val="24"/>
        </w:rPr>
      </w:pPr>
      <w:r w:rsidRPr="000E700A">
        <w:rPr>
          <w:sz w:val="24"/>
          <w:szCs w:val="24"/>
        </w:rPr>
        <w:t xml:space="preserve">6526 </w:t>
      </w:r>
      <w:proofErr w:type="spellStart"/>
      <w:r w:rsidRPr="000E700A">
        <w:rPr>
          <w:sz w:val="24"/>
          <w:szCs w:val="24"/>
        </w:rPr>
        <w:t>Ostali</w:t>
      </w:r>
      <w:proofErr w:type="spellEnd"/>
      <w:r w:rsidRPr="000E700A">
        <w:rPr>
          <w:sz w:val="24"/>
          <w:szCs w:val="24"/>
        </w:rPr>
        <w:t xml:space="preserve"> </w:t>
      </w:r>
      <w:proofErr w:type="spellStart"/>
      <w:r w:rsidRPr="000E700A">
        <w:rPr>
          <w:sz w:val="24"/>
          <w:szCs w:val="24"/>
        </w:rPr>
        <w:t>nespomenuti</w:t>
      </w:r>
      <w:proofErr w:type="spellEnd"/>
      <w:r w:rsidRPr="000E700A">
        <w:rPr>
          <w:sz w:val="24"/>
          <w:szCs w:val="24"/>
        </w:rPr>
        <w:t xml:space="preserve"> </w:t>
      </w:r>
      <w:proofErr w:type="spellStart"/>
      <w:r w:rsidRPr="000E700A">
        <w:rPr>
          <w:sz w:val="24"/>
          <w:szCs w:val="24"/>
        </w:rPr>
        <w:t>prihodi</w:t>
      </w:r>
      <w:proofErr w:type="spellEnd"/>
      <w:r w:rsidRPr="000E700A">
        <w:rPr>
          <w:sz w:val="24"/>
          <w:szCs w:val="24"/>
        </w:rPr>
        <w:t xml:space="preserve"> –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stavci</w:t>
      </w:r>
      <w:proofErr w:type="spellEnd"/>
      <w:r w:rsidRPr="000E700A">
        <w:rPr>
          <w:sz w:val="24"/>
          <w:szCs w:val="24"/>
        </w:rPr>
        <w:t xml:space="preserve"> </w:t>
      </w:r>
      <w:proofErr w:type="spellStart"/>
      <w:r w:rsidRPr="000E700A">
        <w:rPr>
          <w:sz w:val="24"/>
          <w:szCs w:val="24"/>
        </w:rPr>
        <w:t>ostalih</w:t>
      </w:r>
      <w:proofErr w:type="spellEnd"/>
      <w:r w:rsidRPr="000E700A">
        <w:rPr>
          <w:sz w:val="24"/>
          <w:szCs w:val="24"/>
        </w:rPr>
        <w:t xml:space="preserve"> </w:t>
      </w:r>
      <w:proofErr w:type="spellStart"/>
      <w:r w:rsidRPr="000E700A">
        <w:rPr>
          <w:sz w:val="24"/>
          <w:szCs w:val="24"/>
        </w:rPr>
        <w:t>nespomenutih</w:t>
      </w:r>
      <w:proofErr w:type="spellEnd"/>
      <w:r w:rsidRPr="000E700A">
        <w:rPr>
          <w:sz w:val="24"/>
          <w:szCs w:val="24"/>
        </w:rPr>
        <w:t xml:space="preserve"> </w:t>
      </w:r>
      <w:proofErr w:type="spellStart"/>
      <w:r w:rsidR="00844835" w:rsidRPr="000E700A">
        <w:rPr>
          <w:sz w:val="24"/>
          <w:szCs w:val="24"/>
        </w:rPr>
        <w:t>prihoda</w:t>
      </w:r>
      <w:proofErr w:type="spellEnd"/>
      <w:r w:rsidRPr="000E700A">
        <w:rPr>
          <w:sz w:val="24"/>
          <w:szCs w:val="24"/>
        </w:rPr>
        <w:t xml:space="preserve"> </w:t>
      </w:r>
      <w:proofErr w:type="spellStart"/>
      <w:r w:rsidRPr="000E700A">
        <w:rPr>
          <w:sz w:val="24"/>
          <w:szCs w:val="24"/>
        </w:rPr>
        <w:t>ostvareni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w:t>
      </w:r>
      <w:proofErr w:type="spellStart"/>
      <w:r w:rsidRPr="000E700A">
        <w:rPr>
          <w:sz w:val="24"/>
          <w:szCs w:val="24"/>
        </w:rPr>
        <w:t>prihodi</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w:t>
      </w:r>
      <w:r w:rsidR="00BD506B" w:rsidRPr="000E700A">
        <w:rPr>
          <w:sz w:val="24"/>
          <w:szCs w:val="24"/>
        </w:rPr>
        <w:t>2.004.565,45 EUR</w:t>
      </w:r>
      <w:r w:rsidRPr="000E700A">
        <w:rPr>
          <w:sz w:val="24"/>
          <w:szCs w:val="24"/>
        </w:rPr>
        <w:t xml:space="preserve"> </w:t>
      </w:r>
      <w:proofErr w:type="spellStart"/>
      <w:r w:rsidRPr="000E700A">
        <w:rPr>
          <w:sz w:val="24"/>
          <w:szCs w:val="24"/>
        </w:rPr>
        <w:t>odnosno</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razini</w:t>
      </w:r>
      <w:proofErr w:type="spellEnd"/>
      <w:r w:rsidRPr="000E700A">
        <w:rPr>
          <w:sz w:val="24"/>
          <w:szCs w:val="24"/>
        </w:rPr>
        <w:t xml:space="preserve"> </w:t>
      </w:r>
      <w:r w:rsidR="00A44081" w:rsidRPr="000E700A">
        <w:rPr>
          <w:sz w:val="24"/>
          <w:szCs w:val="24"/>
        </w:rPr>
        <w:t>1</w:t>
      </w:r>
      <w:r w:rsidR="00A5610A" w:rsidRPr="000E700A">
        <w:rPr>
          <w:sz w:val="24"/>
          <w:szCs w:val="24"/>
        </w:rPr>
        <w:t>11</w:t>
      </w:r>
      <w:r w:rsidR="00A44081" w:rsidRPr="000E700A">
        <w:rPr>
          <w:sz w:val="24"/>
          <w:szCs w:val="24"/>
        </w:rPr>
        <w:t>,</w:t>
      </w:r>
      <w:r w:rsidR="00A5610A" w:rsidRPr="000E700A">
        <w:rPr>
          <w:sz w:val="24"/>
          <w:szCs w:val="24"/>
        </w:rPr>
        <w:t>36</w:t>
      </w:r>
      <w:r w:rsidRPr="000E700A">
        <w:rPr>
          <w:sz w:val="24"/>
          <w:szCs w:val="24"/>
        </w:rPr>
        <w:t xml:space="preserve">% </w:t>
      </w:r>
      <w:proofErr w:type="spellStart"/>
      <w:r w:rsidRPr="000E700A">
        <w:rPr>
          <w:sz w:val="24"/>
          <w:szCs w:val="24"/>
        </w:rPr>
        <w:t>financijskog</w:t>
      </w:r>
      <w:proofErr w:type="spellEnd"/>
      <w:r w:rsidRPr="000E700A">
        <w:rPr>
          <w:sz w:val="24"/>
          <w:szCs w:val="24"/>
        </w:rPr>
        <w:t xml:space="preserve"> plana. </w:t>
      </w:r>
      <w:proofErr w:type="spellStart"/>
      <w:r w:rsidRPr="000E700A">
        <w:rPr>
          <w:sz w:val="24"/>
          <w:szCs w:val="24"/>
        </w:rPr>
        <w:t>Navedeno</w:t>
      </w:r>
      <w:proofErr w:type="spellEnd"/>
      <w:r w:rsidRPr="000E700A">
        <w:rPr>
          <w:sz w:val="24"/>
          <w:szCs w:val="24"/>
        </w:rPr>
        <w:t xml:space="preserve"> je </w:t>
      </w:r>
      <w:proofErr w:type="spellStart"/>
      <w:r w:rsidRPr="000E700A">
        <w:rPr>
          <w:sz w:val="24"/>
          <w:szCs w:val="24"/>
        </w:rPr>
        <w:t>relativno</w:t>
      </w:r>
      <w:proofErr w:type="spellEnd"/>
      <w:r w:rsidRPr="000E700A">
        <w:rPr>
          <w:sz w:val="24"/>
          <w:szCs w:val="24"/>
        </w:rPr>
        <w:t xml:space="preserve"> u </w:t>
      </w:r>
      <w:proofErr w:type="spellStart"/>
      <w:r w:rsidRPr="000E700A">
        <w:rPr>
          <w:sz w:val="24"/>
          <w:szCs w:val="24"/>
        </w:rPr>
        <w:t>skladu</w:t>
      </w:r>
      <w:proofErr w:type="spellEnd"/>
      <w:r w:rsidRPr="000E700A">
        <w:rPr>
          <w:sz w:val="24"/>
          <w:szCs w:val="24"/>
        </w:rPr>
        <w:t xml:space="preserve"> s </w:t>
      </w:r>
      <w:proofErr w:type="spellStart"/>
      <w:r w:rsidRPr="000E700A">
        <w:rPr>
          <w:sz w:val="24"/>
          <w:szCs w:val="24"/>
        </w:rPr>
        <w:t>prihodima</w:t>
      </w:r>
      <w:proofErr w:type="spellEnd"/>
      <w:r w:rsidRPr="000E700A">
        <w:rPr>
          <w:sz w:val="24"/>
          <w:szCs w:val="24"/>
        </w:rPr>
        <w:t xml:space="preserve"> u </w:t>
      </w:r>
      <w:proofErr w:type="spellStart"/>
      <w:r w:rsidRPr="000E700A">
        <w:rPr>
          <w:sz w:val="24"/>
          <w:szCs w:val="24"/>
        </w:rPr>
        <w:t>istom</w:t>
      </w:r>
      <w:proofErr w:type="spellEnd"/>
      <w:r w:rsidRPr="000E700A">
        <w:rPr>
          <w:sz w:val="24"/>
          <w:szCs w:val="24"/>
        </w:rPr>
        <w:t xml:space="preserve"> </w:t>
      </w:r>
      <w:proofErr w:type="spellStart"/>
      <w:r w:rsidRPr="000E700A">
        <w:rPr>
          <w:sz w:val="24"/>
          <w:szCs w:val="24"/>
        </w:rPr>
        <w:t>razdoblju</w:t>
      </w:r>
      <w:proofErr w:type="spellEnd"/>
      <w:r w:rsidRPr="000E700A">
        <w:rPr>
          <w:sz w:val="24"/>
          <w:szCs w:val="24"/>
        </w:rPr>
        <w:t xml:space="preserve"> </w:t>
      </w:r>
      <w:proofErr w:type="spellStart"/>
      <w:r w:rsidRPr="000E700A">
        <w:rPr>
          <w:sz w:val="24"/>
          <w:szCs w:val="24"/>
        </w:rPr>
        <w:t>prethodne</w:t>
      </w:r>
      <w:proofErr w:type="spellEnd"/>
      <w:r w:rsidRPr="000E700A">
        <w:rPr>
          <w:sz w:val="24"/>
          <w:szCs w:val="24"/>
        </w:rPr>
        <w:t xml:space="preserve"> </w:t>
      </w:r>
      <w:proofErr w:type="spellStart"/>
      <w:r w:rsidRPr="000E700A">
        <w:rPr>
          <w:sz w:val="24"/>
          <w:szCs w:val="24"/>
        </w:rPr>
        <w:t>godine</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u </w:t>
      </w:r>
      <w:proofErr w:type="spellStart"/>
      <w:r w:rsidRPr="000E700A">
        <w:rPr>
          <w:sz w:val="24"/>
          <w:szCs w:val="24"/>
        </w:rPr>
        <w:t>skladu</w:t>
      </w:r>
      <w:proofErr w:type="spellEnd"/>
      <w:r w:rsidRPr="000E700A">
        <w:rPr>
          <w:sz w:val="24"/>
          <w:szCs w:val="24"/>
        </w:rPr>
        <w:t xml:space="preserve"> s </w:t>
      </w:r>
      <w:proofErr w:type="spellStart"/>
      <w:r w:rsidRPr="000E700A">
        <w:rPr>
          <w:sz w:val="24"/>
          <w:szCs w:val="24"/>
        </w:rPr>
        <w:t>očekivanjima</w:t>
      </w:r>
      <w:proofErr w:type="spellEnd"/>
      <w:r w:rsidRPr="000E700A">
        <w:rPr>
          <w:sz w:val="24"/>
          <w:szCs w:val="24"/>
        </w:rPr>
        <w:t xml:space="preserve"> </w:t>
      </w:r>
      <w:proofErr w:type="spellStart"/>
      <w:r w:rsidRPr="000E700A">
        <w:rPr>
          <w:sz w:val="24"/>
          <w:szCs w:val="24"/>
        </w:rPr>
        <w:t>dinamike</w:t>
      </w:r>
      <w:proofErr w:type="spellEnd"/>
      <w:r w:rsidRPr="000E700A">
        <w:rPr>
          <w:sz w:val="24"/>
          <w:szCs w:val="24"/>
        </w:rPr>
        <w:t xml:space="preserve"> </w:t>
      </w:r>
      <w:proofErr w:type="spellStart"/>
      <w:r w:rsidRPr="000E700A">
        <w:rPr>
          <w:sz w:val="24"/>
          <w:szCs w:val="24"/>
        </w:rPr>
        <w:t>ostvarenja</w:t>
      </w:r>
      <w:proofErr w:type="spellEnd"/>
      <w:r w:rsidRPr="000E700A">
        <w:rPr>
          <w:sz w:val="24"/>
          <w:szCs w:val="24"/>
        </w:rPr>
        <w:t xml:space="preserve"> </w:t>
      </w:r>
      <w:proofErr w:type="spellStart"/>
      <w:r w:rsidRPr="000E700A">
        <w:rPr>
          <w:sz w:val="24"/>
          <w:szCs w:val="24"/>
        </w:rPr>
        <w:t>prihoda</w:t>
      </w:r>
      <w:proofErr w:type="spellEnd"/>
      <w:r w:rsidRPr="000E700A">
        <w:rPr>
          <w:sz w:val="24"/>
          <w:szCs w:val="24"/>
        </w:rPr>
        <w:t xml:space="preserve"> u </w:t>
      </w:r>
      <w:proofErr w:type="spellStart"/>
      <w:r w:rsidRPr="000E700A">
        <w:rPr>
          <w:sz w:val="24"/>
          <w:szCs w:val="24"/>
        </w:rPr>
        <w:t>odnosu</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plan s </w:t>
      </w:r>
      <w:proofErr w:type="spellStart"/>
      <w:r w:rsidRPr="000E700A">
        <w:rPr>
          <w:sz w:val="24"/>
          <w:szCs w:val="24"/>
        </w:rPr>
        <w:t>obzirom</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promatrani</w:t>
      </w:r>
      <w:proofErr w:type="spellEnd"/>
      <w:r w:rsidRPr="000E700A">
        <w:rPr>
          <w:sz w:val="24"/>
          <w:szCs w:val="24"/>
        </w:rPr>
        <w:t xml:space="preserve"> </w:t>
      </w:r>
      <w:proofErr w:type="spellStart"/>
      <w:r w:rsidRPr="000E700A">
        <w:rPr>
          <w:sz w:val="24"/>
          <w:szCs w:val="24"/>
        </w:rPr>
        <w:t>godišnji</w:t>
      </w:r>
      <w:proofErr w:type="spellEnd"/>
      <w:r w:rsidRPr="000E700A">
        <w:rPr>
          <w:sz w:val="24"/>
          <w:szCs w:val="24"/>
        </w:rPr>
        <w:t xml:space="preserve"> period.</w:t>
      </w:r>
    </w:p>
    <w:p w14:paraId="43ED9191" w14:textId="77777777" w:rsidR="00BA3260" w:rsidRPr="000E700A" w:rsidRDefault="00BA3260" w:rsidP="00A875D1">
      <w:pPr>
        <w:spacing w:line="360" w:lineRule="auto"/>
        <w:jc w:val="both"/>
        <w:rPr>
          <w:sz w:val="24"/>
          <w:szCs w:val="24"/>
        </w:rPr>
      </w:pPr>
    </w:p>
    <w:p w14:paraId="1280A624" w14:textId="7CF542D6" w:rsidR="00BA3260" w:rsidRPr="000E700A" w:rsidRDefault="00BA3260" w:rsidP="00BA3260">
      <w:pPr>
        <w:spacing w:line="360" w:lineRule="auto"/>
        <w:jc w:val="both"/>
        <w:rPr>
          <w:b/>
          <w:bCs/>
          <w:sz w:val="24"/>
          <w:szCs w:val="24"/>
        </w:rPr>
      </w:pPr>
      <w:r w:rsidRPr="000E700A">
        <w:rPr>
          <w:b/>
          <w:bCs/>
          <w:sz w:val="24"/>
          <w:szCs w:val="24"/>
        </w:rPr>
        <w:t xml:space="preserve">Prihodi od </w:t>
      </w:r>
      <w:proofErr w:type="spellStart"/>
      <w:r w:rsidRPr="000E700A">
        <w:rPr>
          <w:b/>
          <w:bCs/>
          <w:sz w:val="24"/>
          <w:szCs w:val="24"/>
        </w:rPr>
        <w:t>prodaje</w:t>
      </w:r>
      <w:proofErr w:type="spellEnd"/>
      <w:r w:rsidRPr="000E700A">
        <w:rPr>
          <w:b/>
          <w:bCs/>
          <w:sz w:val="24"/>
          <w:szCs w:val="24"/>
        </w:rPr>
        <w:t xml:space="preserve"> </w:t>
      </w:r>
      <w:proofErr w:type="spellStart"/>
      <w:r w:rsidRPr="000E700A">
        <w:rPr>
          <w:b/>
          <w:bCs/>
          <w:sz w:val="24"/>
          <w:szCs w:val="24"/>
        </w:rPr>
        <w:t>proizvoda</w:t>
      </w:r>
      <w:proofErr w:type="spellEnd"/>
      <w:r w:rsidRPr="000E700A">
        <w:rPr>
          <w:b/>
          <w:bCs/>
          <w:sz w:val="24"/>
          <w:szCs w:val="24"/>
        </w:rPr>
        <w:t xml:space="preserve"> </w:t>
      </w:r>
      <w:proofErr w:type="spellStart"/>
      <w:r w:rsidRPr="000E700A">
        <w:rPr>
          <w:b/>
          <w:bCs/>
          <w:sz w:val="24"/>
          <w:szCs w:val="24"/>
        </w:rPr>
        <w:t>i</w:t>
      </w:r>
      <w:proofErr w:type="spellEnd"/>
      <w:r w:rsidRPr="000E700A">
        <w:rPr>
          <w:b/>
          <w:bCs/>
          <w:sz w:val="24"/>
          <w:szCs w:val="24"/>
        </w:rPr>
        <w:t xml:space="preserve"> </w:t>
      </w:r>
      <w:proofErr w:type="spellStart"/>
      <w:r w:rsidRPr="000E700A">
        <w:rPr>
          <w:b/>
          <w:bCs/>
          <w:sz w:val="24"/>
          <w:szCs w:val="24"/>
        </w:rPr>
        <w:t>roba</w:t>
      </w:r>
      <w:proofErr w:type="spellEnd"/>
      <w:r w:rsidRPr="000E700A">
        <w:rPr>
          <w:b/>
          <w:bCs/>
          <w:sz w:val="24"/>
          <w:szCs w:val="24"/>
        </w:rPr>
        <w:t xml:space="preserve"> </w:t>
      </w:r>
      <w:proofErr w:type="spellStart"/>
      <w:r w:rsidRPr="000E700A">
        <w:rPr>
          <w:b/>
          <w:bCs/>
          <w:sz w:val="24"/>
          <w:szCs w:val="24"/>
        </w:rPr>
        <w:t>te</w:t>
      </w:r>
      <w:proofErr w:type="spellEnd"/>
      <w:r w:rsidRPr="000E700A">
        <w:rPr>
          <w:b/>
          <w:bCs/>
          <w:sz w:val="24"/>
          <w:szCs w:val="24"/>
        </w:rPr>
        <w:t xml:space="preserve"> </w:t>
      </w:r>
      <w:proofErr w:type="spellStart"/>
      <w:r w:rsidRPr="000E700A">
        <w:rPr>
          <w:b/>
          <w:bCs/>
          <w:sz w:val="24"/>
          <w:szCs w:val="24"/>
        </w:rPr>
        <w:t>pruženih</w:t>
      </w:r>
      <w:proofErr w:type="spellEnd"/>
      <w:r w:rsidRPr="000E700A">
        <w:rPr>
          <w:b/>
          <w:bCs/>
          <w:sz w:val="24"/>
          <w:szCs w:val="24"/>
        </w:rPr>
        <w:t xml:space="preserve"> </w:t>
      </w:r>
      <w:proofErr w:type="spellStart"/>
      <w:r w:rsidRPr="000E700A">
        <w:rPr>
          <w:b/>
          <w:bCs/>
          <w:sz w:val="24"/>
          <w:szCs w:val="24"/>
        </w:rPr>
        <w:t>usluga</w:t>
      </w:r>
      <w:proofErr w:type="spellEnd"/>
      <w:r w:rsidRPr="000E700A">
        <w:rPr>
          <w:b/>
          <w:bCs/>
          <w:sz w:val="24"/>
          <w:szCs w:val="24"/>
        </w:rPr>
        <w:t xml:space="preserve"> </w:t>
      </w:r>
      <w:proofErr w:type="spellStart"/>
      <w:r w:rsidRPr="000E700A">
        <w:rPr>
          <w:b/>
          <w:bCs/>
          <w:sz w:val="24"/>
          <w:szCs w:val="24"/>
        </w:rPr>
        <w:t>i</w:t>
      </w:r>
      <w:proofErr w:type="spellEnd"/>
      <w:r w:rsidRPr="000E700A">
        <w:rPr>
          <w:b/>
          <w:bCs/>
          <w:sz w:val="24"/>
          <w:szCs w:val="24"/>
        </w:rPr>
        <w:t xml:space="preserve"> </w:t>
      </w:r>
      <w:proofErr w:type="spellStart"/>
      <w:r w:rsidRPr="000E700A">
        <w:rPr>
          <w:b/>
          <w:bCs/>
          <w:sz w:val="24"/>
          <w:szCs w:val="24"/>
        </w:rPr>
        <w:t>prihodi</w:t>
      </w:r>
      <w:proofErr w:type="spellEnd"/>
      <w:r w:rsidRPr="000E700A">
        <w:rPr>
          <w:b/>
          <w:bCs/>
          <w:sz w:val="24"/>
          <w:szCs w:val="24"/>
        </w:rPr>
        <w:t xml:space="preserve"> od </w:t>
      </w:r>
      <w:proofErr w:type="spellStart"/>
      <w:r w:rsidRPr="000E700A">
        <w:rPr>
          <w:b/>
          <w:bCs/>
          <w:sz w:val="24"/>
          <w:szCs w:val="24"/>
        </w:rPr>
        <w:t>donacija</w:t>
      </w:r>
      <w:proofErr w:type="spellEnd"/>
      <w:r w:rsidRPr="000E700A">
        <w:rPr>
          <w:b/>
          <w:bCs/>
          <w:sz w:val="24"/>
          <w:szCs w:val="24"/>
        </w:rPr>
        <w:t xml:space="preserve"> (</w:t>
      </w:r>
      <w:proofErr w:type="spellStart"/>
      <w:r w:rsidRPr="000E700A">
        <w:rPr>
          <w:b/>
          <w:bCs/>
          <w:sz w:val="24"/>
          <w:szCs w:val="24"/>
        </w:rPr>
        <w:t>izvori</w:t>
      </w:r>
      <w:proofErr w:type="spellEnd"/>
      <w:r w:rsidRPr="000E700A">
        <w:rPr>
          <w:b/>
          <w:bCs/>
          <w:sz w:val="24"/>
          <w:szCs w:val="24"/>
        </w:rPr>
        <w:t xml:space="preserve"> </w:t>
      </w:r>
      <w:proofErr w:type="spellStart"/>
      <w:r w:rsidRPr="000E700A">
        <w:rPr>
          <w:b/>
          <w:bCs/>
          <w:sz w:val="24"/>
          <w:szCs w:val="24"/>
        </w:rPr>
        <w:t>financiranja</w:t>
      </w:r>
      <w:proofErr w:type="spellEnd"/>
      <w:r w:rsidRPr="000E700A">
        <w:rPr>
          <w:b/>
          <w:bCs/>
          <w:sz w:val="24"/>
          <w:szCs w:val="24"/>
        </w:rPr>
        <w:t>:</w:t>
      </w:r>
      <w:r w:rsidR="003E4B05" w:rsidRPr="000E700A">
        <w:rPr>
          <w:b/>
          <w:bCs/>
          <w:sz w:val="24"/>
          <w:szCs w:val="24"/>
        </w:rPr>
        <w:t xml:space="preserve"> 31,</w:t>
      </w:r>
      <w:r w:rsidRPr="000E700A">
        <w:rPr>
          <w:b/>
          <w:bCs/>
          <w:sz w:val="24"/>
          <w:szCs w:val="24"/>
        </w:rPr>
        <w:t xml:space="preserve"> 63)</w:t>
      </w:r>
    </w:p>
    <w:p w14:paraId="7FB82815" w14:textId="77777777" w:rsidR="00BA3260" w:rsidRPr="000E700A" w:rsidRDefault="00BA3260" w:rsidP="00A875D1">
      <w:pPr>
        <w:spacing w:line="360" w:lineRule="auto"/>
        <w:jc w:val="both"/>
        <w:rPr>
          <w:sz w:val="24"/>
          <w:szCs w:val="24"/>
        </w:rPr>
      </w:pPr>
    </w:p>
    <w:p w14:paraId="3952D8EF" w14:textId="3C825A9A" w:rsidR="00053CBA" w:rsidRPr="000E700A" w:rsidRDefault="00053CBA" w:rsidP="00A875D1">
      <w:pPr>
        <w:spacing w:line="360" w:lineRule="auto"/>
        <w:jc w:val="both"/>
        <w:rPr>
          <w:sz w:val="24"/>
          <w:szCs w:val="24"/>
        </w:rPr>
      </w:pPr>
      <w:r w:rsidRPr="000E700A">
        <w:rPr>
          <w:sz w:val="24"/>
          <w:szCs w:val="24"/>
        </w:rPr>
        <w:t xml:space="preserve">6631 Tekuće </w:t>
      </w:r>
      <w:proofErr w:type="spellStart"/>
      <w:r w:rsidRPr="000E700A">
        <w:rPr>
          <w:sz w:val="24"/>
          <w:szCs w:val="24"/>
        </w:rPr>
        <w:t>donacije</w:t>
      </w:r>
      <w:proofErr w:type="spellEnd"/>
      <w:r w:rsidRPr="000E700A">
        <w:rPr>
          <w:sz w:val="24"/>
          <w:szCs w:val="24"/>
        </w:rPr>
        <w:t xml:space="preserve"> </w:t>
      </w:r>
      <w:r w:rsidR="00862BB0" w:rsidRPr="000E700A">
        <w:rPr>
          <w:sz w:val="24"/>
          <w:szCs w:val="24"/>
        </w:rPr>
        <w:t>–</w:t>
      </w:r>
      <w:r w:rsidRPr="000E700A">
        <w:rPr>
          <w:sz w:val="24"/>
          <w:szCs w:val="24"/>
        </w:rPr>
        <w:t xml:space="preserve"> </w:t>
      </w:r>
      <w:proofErr w:type="spellStart"/>
      <w:r w:rsidR="00862BB0" w:rsidRPr="000E700A">
        <w:rPr>
          <w:sz w:val="24"/>
          <w:szCs w:val="24"/>
        </w:rPr>
        <w:t>na</w:t>
      </w:r>
      <w:proofErr w:type="spellEnd"/>
      <w:r w:rsidR="00862BB0" w:rsidRPr="000E700A">
        <w:rPr>
          <w:sz w:val="24"/>
          <w:szCs w:val="24"/>
        </w:rPr>
        <w:t xml:space="preserve"> </w:t>
      </w:r>
      <w:proofErr w:type="spellStart"/>
      <w:r w:rsidR="00862BB0" w:rsidRPr="000E700A">
        <w:rPr>
          <w:sz w:val="24"/>
          <w:szCs w:val="24"/>
        </w:rPr>
        <w:t>ovoj</w:t>
      </w:r>
      <w:proofErr w:type="spellEnd"/>
      <w:r w:rsidR="00862BB0" w:rsidRPr="000E700A">
        <w:rPr>
          <w:sz w:val="24"/>
          <w:szCs w:val="24"/>
        </w:rPr>
        <w:t xml:space="preserve"> </w:t>
      </w:r>
      <w:proofErr w:type="spellStart"/>
      <w:r w:rsidR="00862BB0" w:rsidRPr="000E700A">
        <w:rPr>
          <w:sz w:val="24"/>
          <w:szCs w:val="24"/>
        </w:rPr>
        <w:t>stavci</w:t>
      </w:r>
      <w:proofErr w:type="spellEnd"/>
      <w:r w:rsidR="00862BB0" w:rsidRPr="000E700A">
        <w:rPr>
          <w:sz w:val="24"/>
          <w:szCs w:val="24"/>
        </w:rPr>
        <w:t xml:space="preserve"> </w:t>
      </w:r>
      <w:proofErr w:type="spellStart"/>
      <w:r w:rsidR="00862BB0" w:rsidRPr="000E700A">
        <w:rPr>
          <w:sz w:val="24"/>
          <w:szCs w:val="24"/>
        </w:rPr>
        <w:t>ostvareni</w:t>
      </w:r>
      <w:proofErr w:type="spellEnd"/>
      <w:r w:rsidR="00862BB0" w:rsidRPr="000E700A">
        <w:rPr>
          <w:sz w:val="24"/>
          <w:szCs w:val="24"/>
        </w:rPr>
        <w:t xml:space="preserve"> </w:t>
      </w:r>
      <w:proofErr w:type="spellStart"/>
      <w:r w:rsidR="00862BB0" w:rsidRPr="000E700A">
        <w:rPr>
          <w:sz w:val="24"/>
          <w:szCs w:val="24"/>
        </w:rPr>
        <w:t>su</w:t>
      </w:r>
      <w:proofErr w:type="spellEnd"/>
      <w:r w:rsidR="00862BB0" w:rsidRPr="000E700A">
        <w:rPr>
          <w:sz w:val="24"/>
          <w:szCs w:val="24"/>
        </w:rPr>
        <w:t xml:space="preserve"> </w:t>
      </w:r>
      <w:proofErr w:type="spellStart"/>
      <w:r w:rsidR="00862BB0" w:rsidRPr="000E700A">
        <w:rPr>
          <w:sz w:val="24"/>
          <w:szCs w:val="24"/>
        </w:rPr>
        <w:t>prihodi</w:t>
      </w:r>
      <w:proofErr w:type="spellEnd"/>
      <w:r w:rsidR="00862BB0" w:rsidRPr="000E700A">
        <w:rPr>
          <w:sz w:val="24"/>
          <w:szCs w:val="24"/>
        </w:rPr>
        <w:t xml:space="preserve"> u </w:t>
      </w:r>
      <w:proofErr w:type="spellStart"/>
      <w:r w:rsidR="00862BB0" w:rsidRPr="000E700A">
        <w:rPr>
          <w:sz w:val="24"/>
          <w:szCs w:val="24"/>
        </w:rPr>
        <w:t>iznosu</w:t>
      </w:r>
      <w:proofErr w:type="spellEnd"/>
      <w:r w:rsidR="00862BB0" w:rsidRPr="000E700A">
        <w:rPr>
          <w:sz w:val="24"/>
          <w:szCs w:val="24"/>
        </w:rPr>
        <w:t xml:space="preserve"> od 2</w:t>
      </w:r>
      <w:r w:rsidR="00BC0478" w:rsidRPr="000E700A">
        <w:rPr>
          <w:sz w:val="24"/>
          <w:szCs w:val="24"/>
        </w:rPr>
        <w:t>83.276,44 EUR</w:t>
      </w:r>
      <w:r w:rsidR="00544DD2" w:rsidRPr="000E700A">
        <w:rPr>
          <w:sz w:val="24"/>
          <w:szCs w:val="24"/>
        </w:rPr>
        <w:t xml:space="preserve">. </w:t>
      </w:r>
      <w:proofErr w:type="spellStart"/>
      <w:r w:rsidR="00544DD2" w:rsidRPr="000E700A">
        <w:rPr>
          <w:sz w:val="24"/>
          <w:szCs w:val="24"/>
        </w:rPr>
        <w:t>N</w:t>
      </w:r>
      <w:r w:rsidR="00862BB0" w:rsidRPr="000E700A">
        <w:rPr>
          <w:sz w:val="24"/>
          <w:szCs w:val="24"/>
        </w:rPr>
        <w:t>ajveći</w:t>
      </w:r>
      <w:proofErr w:type="spellEnd"/>
      <w:r w:rsidR="00862BB0" w:rsidRPr="000E700A">
        <w:rPr>
          <w:sz w:val="24"/>
          <w:szCs w:val="24"/>
        </w:rPr>
        <w:t xml:space="preserve"> </w:t>
      </w:r>
      <w:proofErr w:type="spellStart"/>
      <w:r w:rsidR="00862BB0" w:rsidRPr="000E700A">
        <w:rPr>
          <w:sz w:val="24"/>
          <w:szCs w:val="24"/>
        </w:rPr>
        <w:t>dio</w:t>
      </w:r>
      <w:proofErr w:type="spellEnd"/>
      <w:r w:rsidR="00862BB0" w:rsidRPr="000E700A">
        <w:rPr>
          <w:sz w:val="24"/>
          <w:szCs w:val="24"/>
        </w:rPr>
        <w:t xml:space="preserve"> </w:t>
      </w:r>
      <w:proofErr w:type="spellStart"/>
      <w:r w:rsidR="00862BB0" w:rsidRPr="000E700A">
        <w:rPr>
          <w:sz w:val="24"/>
          <w:szCs w:val="24"/>
        </w:rPr>
        <w:t>prihoda</w:t>
      </w:r>
      <w:proofErr w:type="spellEnd"/>
      <w:r w:rsidR="00862BB0" w:rsidRPr="000E700A">
        <w:rPr>
          <w:sz w:val="24"/>
          <w:szCs w:val="24"/>
        </w:rPr>
        <w:t xml:space="preserve"> </w:t>
      </w:r>
      <w:proofErr w:type="spellStart"/>
      <w:r w:rsidR="00862BB0" w:rsidRPr="000E700A">
        <w:rPr>
          <w:sz w:val="24"/>
          <w:szCs w:val="24"/>
        </w:rPr>
        <w:t>odnosi</w:t>
      </w:r>
      <w:proofErr w:type="spellEnd"/>
      <w:r w:rsidR="00862BB0" w:rsidRPr="000E700A">
        <w:rPr>
          <w:sz w:val="24"/>
          <w:szCs w:val="24"/>
        </w:rPr>
        <w:t xml:space="preserve"> se </w:t>
      </w:r>
      <w:proofErr w:type="spellStart"/>
      <w:r w:rsidR="00862BB0" w:rsidRPr="000E700A">
        <w:rPr>
          <w:sz w:val="24"/>
          <w:szCs w:val="24"/>
        </w:rPr>
        <w:t>na</w:t>
      </w:r>
      <w:proofErr w:type="spellEnd"/>
      <w:r w:rsidR="00862BB0" w:rsidRPr="000E700A">
        <w:rPr>
          <w:sz w:val="24"/>
          <w:szCs w:val="24"/>
        </w:rPr>
        <w:t xml:space="preserve"> </w:t>
      </w:r>
      <w:proofErr w:type="spellStart"/>
      <w:r w:rsidR="00862BB0" w:rsidRPr="000E700A">
        <w:rPr>
          <w:sz w:val="24"/>
          <w:szCs w:val="24"/>
        </w:rPr>
        <w:t>projekt</w:t>
      </w:r>
      <w:proofErr w:type="spellEnd"/>
      <w:r w:rsidR="00862BB0" w:rsidRPr="000E700A">
        <w:rPr>
          <w:sz w:val="24"/>
          <w:szCs w:val="24"/>
        </w:rPr>
        <w:t xml:space="preserve"> GEANT, u </w:t>
      </w:r>
      <w:proofErr w:type="spellStart"/>
      <w:r w:rsidR="00862BB0" w:rsidRPr="000E700A">
        <w:rPr>
          <w:sz w:val="24"/>
          <w:szCs w:val="24"/>
        </w:rPr>
        <w:t>kojem</w:t>
      </w:r>
      <w:proofErr w:type="spellEnd"/>
      <w:r w:rsidR="00862BB0" w:rsidRPr="000E700A">
        <w:rPr>
          <w:sz w:val="24"/>
          <w:szCs w:val="24"/>
        </w:rPr>
        <w:t xml:space="preserve"> CARNET </w:t>
      </w:r>
      <w:proofErr w:type="spellStart"/>
      <w:r w:rsidR="00862BB0" w:rsidRPr="000E700A">
        <w:rPr>
          <w:sz w:val="24"/>
          <w:szCs w:val="24"/>
        </w:rPr>
        <w:t>sudjeluje</w:t>
      </w:r>
      <w:proofErr w:type="spellEnd"/>
      <w:r w:rsidR="00862BB0" w:rsidRPr="000E700A">
        <w:rPr>
          <w:sz w:val="24"/>
          <w:szCs w:val="24"/>
        </w:rPr>
        <w:t xml:space="preserve"> </w:t>
      </w:r>
      <w:proofErr w:type="spellStart"/>
      <w:r w:rsidR="00862BB0" w:rsidRPr="000E700A">
        <w:rPr>
          <w:sz w:val="24"/>
          <w:szCs w:val="24"/>
        </w:rPr>
        <w:t>kao</w:t>
      </w:r>
      <w:proofErr w:type="spellEnd"/>
      <w:r w:rsidR="00862BB0" w:rsidRPr="000E700A">
        <w:rPr>
          <w:sz w:val="24"/>
          <w:szCs w:val="24"/>
        </w:rPr>
        <w:t xml:space="preserve"> partner </w:t>
      </w:r>
      <w:proofErr w:type="spellStart"/>
      <w:r w:rsidR="00862BB0" w:rsidRPr="000E700A">
        <w:rPr>
          <w:sz w:val="24"/>
          <w:szCs w:val="24"/>
        </w:rPr>
        <w:t>uz</w:t>
      </w:r>
      <w:proofErr w:type="spellEnd"/>
      <w:r w:rsidR="00862BB0" w:rsidRPr="000E700A">
        <w:rPr>
          <w:sz w:val="24"/>
          <w:szCs w:val="24"/>
        </w:rPr>
        <w:t xml:space="preserve"> 37 </w:t>
      </w:r>
      <w:proofErr w:type="spellStart"/>
      <w:r w:rsidR="00862BB0" w:rsidRPr="000E700A">
        <w:rPr>
          <w:sz w:val="24"/>
          <w:szCs w:val="24"/>
        </w:rPr>
        <w:t>europskih</w:t>
      </w:r>
      <w:proofErr w:type="spellEnd"/>
      <w:r w:rsidR="00862BB0" w:rsidRPr="000E700A">
        <w:rPr>
          <w:sz w:val="24"/>
          <w:szCs w:val="24"/>
        </w:rPr>
        <w:t xml:space="preserve"> </w:t>
      </w:r>
      <w:proofErr w:type="spellStart"/>
      <w:r w:rsidR="00862BB0" w:rsidRPr="000E700A">
        <w:rPr>
          <w:sz w:val="24"/>
          <w:szCs w:val="24"/>
        </w:rPr>
        <w:t>i</w:t>
      </w:r>
      <w:proofErr w:type="spellEnd"/>
      <w:r w:rsidR="00862BB0" w:rsidRPr="000E700A">
        <w:rPr>
          <w:sz w:val="24"/>
          <w:szCs w:val="24"/>
        </w:rPr>
        <w:t xml:space="preserve"> 5 </w:t>
      </w:r>
      <w:proofErr w:type="spellStart"/>
      <w:r w:rsidR="00862BB0" w:rsidRPr="000E700A">
        <w:rPr>
          <w:sz w:val="24"/>
          <w:szCs w:val="24"/>
        </w:rPr>
        <w:t>nordijskih</w:t>
      </w:r>
      <w:proofErr w:type="spellEnd"/>
      <w:r w:rsidR="00862BB0" w:rsidRPr="000E700A">
        <w:rPr>
          <w:sz w:val="24"/>
          <w:szCs w:val="24"/>
        </w:rPr>
        <w:t xml:space="preserve"> </w:t>
      </w:r>
      <w:proofErr w:type="spellStart"/>
      <w:r w:rsidR="00862BB0" w:rsidRPr="000E700A">
        <w:rPr>
          <w:sz w:val="24"/>
          <w:szCs w:val="24"/>
        </w:rPr>
        <w:t>akademskih</w:t>
      </w:r>
      <w:proofErr w:type="spellEnd"/>
      <w:r w:rsidR="00862BB0" w:rsidRPr="000E700A">
        <w:rPr>
          <w:sz w:val="24"/>
          <w:szCs w:val="24"/>
        </w:rPr>
        <w:t xml:space="preserve"> </w:t>
      </w:r>
      <w:proofErr w:type="spellStart"/>
      <w:r w:rsidR="00862BB0" w:rsidRPr="000E700A">
        <w:rPr>
          <w:sz w:val="24"/>
          <w:szCs w:val="24"/>
        </w:rPr>
        <w:t>i</w:t>
      </w:r>
      <w:proofErr w:type="spellEnd"/>
      <w:r w:rsidR="00862BB0" w:rsidRPr="000E700A">
        <w:rPr>
          <w:sz w:val="24"/>
          <w:szCs w:val="24"/>
        </w:rPr>
        <w:t xml:space="preserve"> </w:t>
      </w:r>
      <w:proofErr w:type="spellStart"/>
      <w:r w:rsidR="00862BB0" w:rsidRPr="000E700A">
        <w:rPr>
          <w:sz w:val="24"/>
          <w:szCs w:val="24"/>
        </w:rPr>
        <w:t>istraživačkih</w:t>
      </w:r>
      <w:proofErr w:type="spellEnd"/>
      <w:r w:rsidR="00862BB0" w:rsidRPr="000E700A">
        <w:rPr>
          <w:sz w:val="24"/>
          <w:szCs w:val="24"/>
        </w:rPr>
        <w:t xml:space="preserve"> </w:t>
      </w:r>
      <w:proofErr w:type="spellStart"/>
      <w:r w:rsidR="00862BB0" w:rsidRPr="000E700A">
        <w:rPr>
          <w:sz w:val="24"/>
          <w:szCs w:val="24"/>
        </w:rPr>
        <w:t>mreža</w:t>
      </w:r>
      <w:proofErr w:type="spellEnd"/>
      <w:r w:rsidR="00862BB0" w:rsidRPr="000E700A">
        <w:rPr>
          <w:sz w:val="24"/>
          <w:szCs w:val="24"/>
        </w:rPr>
        <w:t xml:space="preserve">, </w:t>
      </w:r>
      <w:proofErr w:type="spellStart"/>
      <w:r w:rsidR="00862BB0" w:rsidRPr="000E700A">
        <w:rPr>
          <w:sz w:val="24"/>
          <w:szCs w:val="24"/>
        </w:rPr>
        <w:t>te</w:t>
      </w:r>
      <w:proofErr w:type="spellEnd"/>
      <w:r w:rsidR="00862BB0" w:rsidRPr="000E700A">
        <w:rPr>
          <w:sz w:val="24"/>
          <w:szCs w:val="24"/>
        </w:rPr>
        <w:t xml:space="preserve"> GEANT-a </w:t>
      </w:r>
      <w:proofErr w:type="spellStart"/>
      <w:r w:rsidR="00862BB0" w:rsidRPr="000E700A">
        <w:rPr>
          <w:sz w:val="24"/>
          <w:szCs w:val="24"/>
        </w:rPr>
        <w:t>kao</w:t>
      </w:r>
      <w:proofErr w:type="spellEnd"/>
      <w:r w:rsidR="00862BB0" w:rsidRPr="000E700A">
        <w:rPr>
          <w:sz w:val="24"/>
          <w:szCs w:val="24"/>
        </w:rPr>
        <w:t xml:space="preserve"> </w:t>
      </w:r>
      <w:proofErr w:type="spellStart"/>
      <w:r w:rsidR="00862BB0" w:rsidRPr="000E700A">
        <w:rPr>
          <w:sz w:val="24"/>
          <w:szCs w:val="24"/>
        </w:rPr>
        <w:t>koordinatora</w:t>
      </w:r>
      <w:proofErr w:type="spellEnd"/>
      <w:r w:rsidR="00862BB0" w:rsidRPr="000E700A">
        <w:rPr>
          <w:sz w:val="24"/>
          <w:szCs w:val="24"/>
        </w:rPr>
        <w:t xml:space="preserve"> </w:t>
      </w:r>
      <w:proofErr w:type="spellStart"/>
      <w:r w:rsidR="00862BB0" w:rsidRPr="000E700A">
        <w:rPr>
          <w:sz w:val="24"/>
          <w:szCs w:val="24"/>
        </w:rPr>
        <w:t>projekta</w:t>
      </w:r>
      <w:proofErr w:type="spellEnd"/>
      <w:r w:rsidR="00862BB0" w:rsidRPr="000E700A">
        <w:rPr>
          <w:sz w:val="24"/>
          <w:szCs w:val="24"/>
        </w:rPr>
        <w:t>.</w:t>
      </w:r>
    </w:p>
    <w:p w14:paraId="1DE77230" w14:textId="77777777" w:rsidR="00A875D1" w:rsidRPr="000E700A" w:rsidRDefault="00A875D1" w:rsidP="00324432">
      <w:pPr>
        <w:spacing w:line="360" w:lineRule="auto"/>
        <w:jc w:val="both"/>
        <w:rPr>
          <w:sz w:val="24"/>
          <w:szCs w:val="24"/>
        </w:rPr>
      </w:pPr>
    </w:p>
    <w:p w14:paraId="63A8593A" w14:textId="781A698F" w:rsidR="00BA3260" w:rsidRPr="000E700A" w:rsidRDefault="00BA3260" w:rsidP="00BA3260">
      <w:pPr>
        <w:spacing w:line="360" w:lineRule="auto"/>
        <w:jc w:val="both"/>
        <w:rPr>
          <w:b/>
          <w:bCs/>
          <w:sz w:val="24"/>
          <w:szCs w:val="24"/>
        </w:rPr>
      </w:pPr>
      <w:r w:rsidRPr="000E700A">
        <w:rPr>
          <w:b/>
          <w:bCs/>
          <w:sz w:val="24"/>
          <w:szCs w:val="24"/>
        </w:rPr>
        <w:t xml:space="preserve">Prihodi </w:t>
      </w:r>
      <w:proofErr w:type="spellStart"/>
      <w:r w:rsidRPr="000E700A">
        <w:rPr>
          <w:b/>
          <w:bCs/>
          <w:sz w:val="24"/>
          <w:szCs w:val="24"/>
        </w:rPr>
        <w:t>iz</w:t>
      </w:r>
      <w:proofErr w:type="spellEnd"/>
      <w:r w:rsidRPr="000E700A">
        <w:rPr>
          <w:b/>
          <w:bCs/>
          <w:sz w:val="24"/>
          <w:szCs w:val="24"/>
        </w:rPr>
        <w:t xml:space="preserve"> </w:t>
      </w:r>
      <w:proofErr w:type="spellStart"/>
      <w:r w:rsidRPr="000E700A">
        <w:rPr>
          <w:b/>
          <w:bCs/>
          <w:sz w:val="24"/>
          <w:szCs w:val="24"/>
        </w:rPr>
        <w:t>nadležnog</w:t>
      </w:r>
      <w:proofErr w:type="spellEnd"/>
      <w:r w:rsidRPr="000E700A">
        <w:rPr>
          <w:b/>
          <w:bCs/>
          <w:sz w:val="24"/>
          <w:szCs w:val="24"/>
        </w:rPr>
        <w:t xml:space="preserve"> </w:t>
      </w:r>
      <w:proofErr w:type="spellStart"/>
      <w:r w:rsidRPr="000E700A">
        <w:rPr>
          <w:b/>
          <w:bCs/>
          <w:sz w:val="24"/>
          <w:szCs w:val="24"/>
        </w:rPr>
        <w:t>proračuna</w:t>
      </w:r>
      <w:proofErr w:type="spellEnd"/>
      <w:r w:rsidRPr="000E700A">
        <w:rPr>
          <w:b/>
          <w:bCs/>
          <w:sz w:val="24"/>
          <w:szCs w:val="24"/>
        </w:rPr>
        <w:t xml:space="preserve"> </w:t>
      </w:r>
      <w:proofErr w:type="spellStart"/>
      <w:r w:rsidRPr="000E700A">
        <w:rPr>
          <w:b/>
          <w:bCs/>
          <w:sz w:val="24"/>
          <w:szCs w:val="24"/>
        </w:rPr>
        <w:t>i</w:t>
      </w:r>
      <w:proofErr w:type="spellEnd"/>
      <w:r w:rsidRPr="000E700A">
        <w:rPr>
          <w:b/>
          <w:bCs/>
          <w:sz w:val="24"/>
          <w:szCs w:val="24"/>
        </w:rPr>
        <w:t xml:space="preserve"> od HZZO-a </w:t>
      </w:r>
      <w:proofErr w:type="spellStart"/>
      <w:r w:rsidRPr="000E700A">
        <w:rPr>
          <w:b/>
          <w:bCs/>
          <w:sz w:val="24"/>
          <w:szCs w:val="24"/>
        </w:rPr>
        <w:t>temeljem</w:t>
      </w:r>
      <w:proofErr w:type="spellEnd"/>
      <w:r w:rsidRPr="000E700A">
        <w:rPr>
          <w:b/>
          <w:bCs/>
          <w:sz w:val="24"/>
          <w:szCs w:val="24"/>
        </w:rPr>
        <w:t xml:space="preserve"> </w:t>
      </w:r>
      <w:proofErr w:type="spellStart"/>
      <w:r w:rsidRPr="000E700A">
        <w:rPr>
          <w:b/>
          <w:bCs/>
          <w:sz w:val="24"/>
          <w:szCs w:val="24"/>
        </w:rPr>
        <w:t>ugovornih</w:t>
      </w:r>
      <w:proofErr w:type="spellEnd"/>
      <w:r w:rsidRPr="000E700A">
        <w:rPr>
          <w:b/>
          <w:bCs/>
          <w:sz w:val="24"/>
          <w:szCs w:val="24"/>
        </w:rPr>
        <w:t xml:space="preserve"> </w:t>
      </w:r>
      <w:proofErr w:type="spellStart"/>
      <w:r w:rsidRPr="000E700A">
        <w:rPr>
          <w:b/>
          <w:bCs/>
          <w:sz w:val="24"/>
          <w:szCs w:val="24"/>
        </w:rPr>
        <w:t>obveza</w:t>
      </w:r>
      <w:proofErr w:type="spellEnd"/>
      <w:r w:rsidRPr="000E700A">
        <w:rPr>
          <w:b/>
          <w:bCs/>
          <w:sz w:val="24"/>
          <w:szCs w:val="24"/>
        </w:rPr>
        <w:t xml:space="preserve"> (</w:t>
      </w:r>
      <w:proofErr w:type="spellStart"/>
      <w:r w:rsidRPr="000E700A">
        <w:rPr>
          <w:b/>
          <w:bCs/>
          <w:sz w:val="24"/>
          <w:szCs w:val="24"/>
        </w:rPr>
        <w:t>izvori</w:t>
      </w:r>
      <w:proofErr w:type="spellEnd"/>
      <w:r w:rsidRPr="000E700A">
        <w:rPr>
          <w:b/>
          <w:bCs/>
          <w:sz w:val="24"/>
          <w:szCs w:val="24"/>
        </w:rPr>
        <w:t xml:space="preserve"> financiraja:11,12)</w:t>
      </w:r>
    </w:p>
    <w:p w14:paraId="3B88F17A" w14:textId="77777777" w:rsidR="00BA3260" w:rsidRPr="000E700A" w:rsidRDefault="00BA3260" w:rsidP="00324432">
      <w:pPr>
        <w:spacing w:line="360" w:lineRule="auto"/>
        <w:jc w:val="both"/>
        <w:rPr>
          <w:sz w:val="24"/>
          <w:szCs w:val="24"/>
        </w:rPr>
      </w:pPr>
    </w:p>
    <w:p w14:paraId="16FD54E9" w14:textId="26671BAD" w:rsidR="00EE20D1" w:rsidRPr="000E700A" w:rsidRDefault="00B00B89" w:rsidP="00324432">
      <w:pPr>
        <w:spacing w:line="360" w:lineRule="auto"/>
        <w:jc w:val="both"/>
        <w:rPr>
          <w:sz w:val="24"/>
          <w:szCs w:val="24"/>
        </w:rPr>
      </w:pPr>
      <w:r w:rsidRPr="000E700A">
        <w:rPr>
          <w:sz w:val="24"/>
          <w:szCs w:val="24"/>
        </w:rPr>
        <w:t xml:space="preserve">6711 Prihodi </w:t>
      </w:r>
      <w:proofErr w:type="spellStart"/>
      <w:r w:rsidRPr="000E700A">
        <w:rPr>
          <w:sz w:val="24"/>
          <w:szCs w:val="24"/>
        </w:rPr>
        <w:t>iz</w:t>
      </w:r>
      <w:proofErr w:type="spellEnd"/>
      <w:r w:rsidRPr="000E700A">
        <w:rPr>
          <w:sz w:val="24"/>
          <w:szCs w:val="24"/>
        </w:rPr>
        <w:t xml:space="preserve"> </w:t>
      </w:r>
      <w:proofErr w:type="spellStart"/>
      <w:r w:rsidRPr="000E700A">
        <w:rPr>
          <w:sz w:val="24"/>
          <w:szCs w:val="24"/>
        </w:rPr>
        <w:t>nadležnog</w:t>
      </w:r>
      <w:proofErr w:type="spellEnd"/>
      <w:r w:rsidRPr="000E700A">
        <w:rPr>
          <w:sz w:val="24"/>
          <w:szCs w:val="24"/>
        </w:rPr>
        <w:t xml:space="preserve"> </w:t>
      </w:r>
      <w:proofErr w:type="spellStart"/>
      <w:r w:rsidRPr="000E700A">
        <w:rPr>
          <w:sz w:val="24"/>
          <w:szCs w:val="24"/>
        </w:rPr>
        <w:t>proračuna</w:t>
      </w:r>
      <w:proofErr w:type="spellEnd"/>
      <w:r w:rsidRPr="000E700A">
        <w:rPr>
          <w:sz w:val="24"/>
          <w:szCs w:val="24"/>
        </w:rPr>
        <w:t xml:space="preserve"> za </w:t>
      </w:r>
      <w:proofErr w:type="spellStart"/>
      <w:r w:rsidRPr="000E700A">
        <w:rPr>
          <w:sz w:val="24"/>
          <w:szCs w:val="24"/>
        </w:rPr>
        <w:t>financiranje</w:t>
      </w:r>
      <w:proofErr w:type="spellEnd"/>
      <w:r w:rsidRPr="000E700A">
        <w:rPr>
          <w:sz w:val="24"/>
          <w:szCs w:val="24"/>
        </w:rPr>
        <w:t xml:space="preserve"> </w:t>
      </w:r>
      <w:proofErr w:type="spellStart"/>
      <w:r w:rsidRPr="000E700A">
        <w:rPr>
          <w:sz w:val="24"/>
          <w:szCs w:val="24"/>
        </w:rPr>
        <w:t>rashoda</w:t>
      </w:r>
      <w:proofErr w:type="spellEnd"/>
      <w:r w:rsidRPr="000E700A">
        <w:rPr>
          <w:sz w:val="24"/>
          <w:szCs w:val="24"/>
        </w:rPr>
        <w:t xml:space="preserve"> </w:t>
      </w:r>
      <w:proofErr w:type="spellStart"/>
      <w:r w:rsidRPr="000E700A">
        <w:rPr>
          <w:sz w:val="24"/>
          <w:szCs w:val="24"/>
        </w:rPr>
        <w:t>poslovanja</w:t>
      </w:r>
      <w:proofErr w:type="spellEnd"/>
      <w:r w:rsidRPr="000E700A">
        <w:rPr>
          <w:sz w:val="24"/>
          <w:szCs w:val="24"/>
        </w:rPr>
        <w:t xml:space="preserve"> –</w:t>
      </w:r>
      <w:r w:rsidR="00EE20D1" w:rsidRPr="000E700A">
        <w:rPr>
          <w:sz w:val="24"/>
          <w:szCs w:val="24"/>
        </w:rPr>
        <w:t xml:space="preserve"> </w:t>
      </w:r>
      <w:proofErr w:type="spellStart"/>
      <w:r w:rsidR="00EE20D1" w:rsidRPr="000E700A">
        <w:rPr>
          <w:sz w:val="24"/>
          <w:szCs w:val="24"/>
        </w:rPr>
        <w:t>na</w:t>
      </w:r>
      <w:proofErr w:type="spellEnd"/>
      <w:r w:rsidR="00EE20D1" w:rsidRPr="000E700A">
        <w:rPr>
          <w:sz w:val="24"/>
          <w:szCs w:val="24"/>
        </w:rPr>
        <w:t xml:space="preserve"> </w:t>
      </w:r>
      <w:proofErr w:type="spellStart"/>
      <w:r w:rsidR="00EE20D1" w:rsidRPr="000E700A">
        <w:rPr>
          <w:sz w:val="24"/>
          <w:szCs w:val="24"/>
        </w:rPr>
        <w:t>stavci</w:t>
      </w:r>
      <w:proofErr w:type="spellEnd"/>
      <w:r w:rsidR="00EE20D1" w:rsidRPr="000E700A">
        <w:rPr>
          <w:sz w:val="24"/>
          <w:szCs w:val="24"/>
        </w:rPr>
        <w:t xml:space="preserve"> </w:t>
      </w:r>
      <w:proofErr w:type="spellStart"/>
      <w:r w:rsidR="00EE20D1" w:rsidRPr="000E700A">
        <w:rPr>
          <w:sz w:val="24"/>
          <w:szCs w:val="24"/>
        </w:rPr>
        <w:t>prihoda</w:t>
      </w:r>
      <w:proofErr w:type="spellEnd"/>
      <w:r w:rsidR="00EE20D1" w:rsidRPr="000E700A">
        <w:rPr>
          <w:sz w:val="24"/>
          <w:szCs w:val="24"/>
        </w:rPr>
        <w:t xml:space="preserve"> </w:t>
      </w:r>
      <w:proofErr w:type="spellStart"/>
      <w:r w:rsidR="00EE20D1" w:rsidRPr="000E700A">
        <w:rPr>
          <w:sz w:val="24"/>
          <w:szCs w:val="24"/>
        </w:rPr>
        <w:t>iz</w:t>
      </w:r>
      <w:proofErr w:type="spellEnd"/>
      <w:r w:rsidR="00EE20D1" w:rsidRPr="000E700A">
        <w:rPr>
          <w:sz w:val="24"/>
          <w:szCs w:val="24"/>
        </w:rPr>
        <w:t xml:space="preserve"> </w:t>
      </w:r>
      <w:proofErr w:type="spellStart"/>
      <w:r w:rsidR="00EE20D1" w:rsidRPr="000E700A">
        <w:rPr>
          <w:sz w:val="24"/>
          <w:szCs w:val="24"/>
        </w:rPr>
        <w:t>nadležnog</w:t>
      </w:r>
      <w:proofErr w:type="spellEnd"/>
      <w:r w:rsidR="00EE20D1" w:rsidRPr="000E700A">
        <w:rPr>
          <w:sz w:val="24"/>
          <w:szCs w:val="24"/>
        </w:rPr>
        <w:t xml:space="preserve"> </w:t>
      </w:r>
      <w:proofErr w:type="spellStart"/>
      <w:r w:rsidR="00EE20D1" w:rsidRPr="000E700A">
        <w:rPr>
          <w:sz w:val="24"/>
          <w:szCs w:val="24"/>
        </w:rPr>
        <w:t>proračuna</w:t>
      </w:r>
      <w:proofErr w:type="spellEnd"/>
      <w:r w:rsidR="00EE20D1" w:rsidRPr="000E700A">
        <w:rPr>
          <w:sz w:val="24"/>
          <w:szCs w:val="24"/>
        </w:rPr>
        <w:t xml:space="preserve"> </w:t>
      </w:r>
      <w:proofErr w:type="spellStart"/>
      <w:r w:rsidR="00EE20D1" w:rsidRPr="000E700A">
        <w:rPr>
          <w:sz w:val="24"/>
          <w:szCs w:val="24"/>
        </w:rPr>
        <w:t>ostvareni</w:t>
      </w:r>
      <w:proofErr w:type="spellEnd"/>
      <w:r w:rsidR="00EE20D1" w:rsidRPr="000E700A">
        <w:rPr>
          <w:sz w:val="24"/>
          <w:szCs w:val="24"/>
        </w:rPr>
        <w:t xml:space="preserve"> </w:t>
      </w:r>
      <w:proofErr w:type="spellStart"/>
      <w:r w:rsidR="00EE20D1" w:rsidRPr="000E700A">
        <w:rPr>
          <w:sz w:val="24"/>
          <w:szCs w:val="24"/>
        </w:rPr>
        <w:t>su</w:t>
      </w:r>
      <w:proofErr w:type="spellEnd"/>
      <w:r w:rsidR="00EE20D1" w:rsidRPr="000E700A">
        <w:rPr>
          <w:sz w:val="24"/>
          <w:szCs w:val="24"/>
        </w:rPr>
        <w:t xml:space="preserve"> </w:t>
      </w:r>
      <w:proofErr w:type="spellStart"/>
      <w:r w:rsidR="00EE20D1" w:rsidRPr="000E700A">
        <w:rPr>
          <w:sz w:val="24"/>
          <w:szCs w:val="24"/>
        </w:rPr>
        <w:t>prihodi</w:t>
      </w:r>
      <w:proofErr w:type="spellEnd"/>
      <w:r w:rsidR="00EE20D1" w:rsidRPr="000E700A">
        <w:rPr>
          <w:sz w:val="24"/>
          <w:szCs w:val="24"/>
        </w:rPr>
        <w:t xml:space="preserve"> u </w:t>
      </w:r>
      <w:proofErr w:type="spellStart"/>
      <w:r w:rsidR="00EE20D1" w:rsidRPr="000E700A">
        <w:rPr>
          <w:sz w:val="24"/>
          <w:szCs w:val="24"/>
        </w:rPr>
        <w:t>iznosu</w:t>
      </w:r>
      <w:proofErr w:type="spellEnd"/>
      <w:r w:rsidR="00EE20D1" w:rsidRPr="000E700A">
        <w:rPr>
          <w:sz w:val="24"/>
          <w:szCs w:val="24"/>
        </w:rPr>
        <w:t xml:space="preserve"> </w:t>
      </w:r>
      <w:r w:rsidR="00544DD2" w:rsidRPr="000E700A">
        <w:rPr>
          <w:sz w:val="24"/>
          <w:szCs w:val="24"/>
        </w:rPr>
        <w:t>1</w:t>
      </w:r>
      <w:r w:rsidR="000A1C65" w:rsidRPr="000E700A">
        <w:rPr>
          <w:sz w:val="24"/>
          <w:szCs w:val="24"/>
        </w:rPr>
        <w:t>5.036.</w:t>
      </w:r>
      <w:r w:rsidR="000A1C65" w:rsidRPr="00880666">
        <w:rPr>
          <w:sz w:val="24"/>
          <w:szCs w:val="24"/>
        </w:rPr>
        <w:t>530,37</w:t>
      </w:r>
      <w:r w:rsidR="00844835" w:rsidRPr="00880666">
        <w:rPr>
          <w:sz w:val="24"/>
          <w:szCs w:val="24"/>
        </w:rPr>
        <w:t xml:space="preserve"> EU</w:t>
      </w:r>
      <w:r w:rsidR="00E14E67" w:rsidRPr="00880666">
        <w:rPr>
          <w:sz w:val="24"/>
          <w:szCs w:val="24"/>
        </w:rPr>
        <w:t>R</w:t>
      </w:r>
      <w:r w:rsidR="00EE20D1" w:rsidRPr="00880666">
        <w:rPr>
          <w:sz w:val="24"/>
          <w:szCs w:val="24"/>
        </w:rPr>
        <w:t xml:space="preserve">. </w:t>
      </w:r>
      <w:proofErr w:type="spellStart"/>
      <w:r w:rsidR="00EE20D1" w:rsidRPr="00880666">
        <w:rPr>
          <w:sz w:val="24"/>
          <w:szCs w:val="24"/>
        </w:rPr>
        <w:t>Izvršenje</w:t>
      </w:r>
      <w:proofErr w:type="spellEnd"/>
      <w:r w:rsidR="00EE20D1" w:rsidRPr="000E700A">
        <w:rPr>
          <w:sz w:val="24"/>
          <w:szCs w:val="24"/>
        </w:rPr>
        <w:t xml:space="preserve"> </w:t>
      </w:r>
      <w:proofErr w:type="spellStart"/>
      <w:r w:rsidR="00EE20D1" w:rsidRPr="000E700A">
        <w:rPr>
          <w:sz w:val="24"/>
          <w:szCs w:val="24"/>
        </w:rPr>
        <w:t>na</w:t>
      </w:r>
      <w:proofErr w:type="spellEnd"/>
      <w:r w:rsidR="00EE20D1" w:rsidRPr="000E700A">
        <w:rPr>
          <w:sz w:val="24"/>
          <w:szCs w:val="24"/>
        </w:rPr>
        <w:t xml:space="preserve"> </w:t>
      </w:r>
      <w:proofErr w:type="spellStart"/>
      <w:r w:rsidR="00EE20D1" w:rsidRPr="000E700A">
        <w:rPr>
          <w:sz w:val="24"/>
          <w:szCs w:val="24"/>
        </w:rPr>
        <w:t>navedenoj</w:t>
      </w:r>
      <w:proofErr w:type="spellEnd"/>
      <w:r w:rsidR="00EE20D1" w:rsidRPr="000E700A">
        <w:rPr>
          <w:sz w:val="24"/>
          <w:szCs w:val="24"/>
        </w:rPr>
        <w:t xml:space="preserve"> </w:t>
      </w:r>
      <w:proofErr w:type="spellStart"/>
      <w:r w:rsidR="00EE20D1" w:rsidRPr="000E700A">
        <w:rPr>
          <w:sz w:val="24"/>
          <w:szCs w:val="24"/>
        </w:rPr>
        <w:t>stavci</w:t>
      </w:r>
      <w:proofErr w:type="spellEnd"/>
      <w:r w:rsidR="00EE20D1" w:rsidRPr="000E700A">
        <w:rPr>
          <w:sz w:val="24"/>
          <w:szCs w:val="24"/>
        </w:rPr>
        <w:t xml:space="preserve"> je u </w:t>
      </w:r>
      <w:proofErr w:type="spellStart"/>
      <w:r w:rsidR="00EE20D1" w:rsidRPr="000E700A">
        <w:rPr>
          <w:sz w:val="24"/>
          <w:szCs w:val="24"/>
        </w:rPr>
        <w:t>skladu</w:t>
      </w:r>
      <w:proofErr w:type="spellEnd"/>
      <w:r w:rsidR="00EE20D1" w:rsidRPr="000E700A">
        <w:rPr>
          <w:sz w:val="24"/>
          <w:szCs w:val="24"/>
        </w:rPr>
        <w:t xml:space="preserve"> s </w:t>
      </w:r>
      <w:proofErr w:type="spellStart"/>
      <w:r w:rsidR="00EE20D1" w:rsidRPr="000E700A">
        <w:rPr>
          <w:sz w:val="24"/>
          <w:szCs w:val="24"/>
        </w:rPr>
        <w:t>financijskim</w:t>
      </w:r>
      <w:proofErr w:type="spellEnd"/>
      <w:r w:rsidR="00EE20D1" w:rsidRPr="000E700A">
        <w:rPr>
          <w:sz w:val="24"/>
          <w:szCs w:val="24"/>
        </w:rPr>
        <w:t xml:space="preserve"> </w:t>
      </w:r>
      <w:proofErr w:type="spellStart"/>
      <w:r w:rsidR="00EE20D1" w:rsidRPr="000E700A">
        <w:rPr>
          <w:sz w:val="24"/>
          <w:szCs w:val="24"/>
        </w:rPr>
        <w:t>planom</w:t>
      </w:r>
      <w:proofErr w:type="spellEnd"/>
      <w:r w:rsidR="00EE20D1" w:rsidRPr="000E700A">
        <w:rPr>
          <w:sz w:val="24"/>
          <w:szCs w:val="24"/>
        </w:rPr>
        <w:t xml:space="preserve"> s o </w:t>
      </w:r>
      <w:proofErr w:type="spellStart"/>
      <w:r w:rsidR="00EE20D1" w:rsidRPr="000E700A">
        <w:rPr>
          <w:sz w:val="24"/>
          <w:szCs w:val="24"/>
        </w:rPr>
        <w:t>obzirom</w:t>
      </w:r>
      <w:proofErr w:type="spellEnd"/>
      <w:r w:rsidR="00EE20D1" w:rsidRPr="000E700A">
        <w:rPr>
          <w:sz w:val="24"/>
          <w:szCs w:val="24"/>
        </w:rPr>
        <w:t xml:space="preserve"> </w:t>
      </w:r>
      <w:proofErr w:type="spellStart"/>
      <w:r w:rsidR="00EE20D1" w:rsidRPr="000E700A">
        <w:rPr>
          <w:sz w:val="24"/>
          <w:szCs w:val="24"/>
        </w:rPr>
        <w:t>na</w:t>
      </w:r>
      <w:proofErr w:type="spellEnd"/>
      <w:r w:rsidR="00EE20D1" w:rsidRPr="000E700A">
        <w:rPr>
          <w:sz w:val="24"/>
          <w:szCs w:val="24"/>
        </w:rPr>
        <w:t xml:space="preserve"> </w:t>
      </w:r>
      <w:proofErr w:type="spellStart"/>
      <w:r w:rsidR="00EE20D1" w:rsidRPr="000E700A">
        <w:rPr>
          <w:sz w:val="24"/>
          <w:szCs w:val="24"/>
        </w:rPr>
        <w:t>promatrani</w:t>
      </w:r>
      <w:proofErr w:type="spellEnd"/>
      <w:r w:rsidR="00EE20D1" w:rsidRPr="000E700A">
        <w:rPr>
          <w:sz w:val="24"/>
          <w:szCs w:val="24"/>
        </w:rPr>
        <w:t xml:space="preserve"> </w:t>
      </w:r>
      <w:proofErr w:type="spellStart"/>
      <w:r w:rsidR="00EE20D1" w:rsidRPr="000E700A">
        <w:rPr>
          <w:sz w:val="24"/>
          <w:szCs w:val="24"/>
        </w:rPr>
        <w:t>godišnji</w:t>
      </w:r>
      <w:proofErr w:type="spellEnd"/>
      <w:r w:rsidR="00EE20D1" w:rsidRPr="000E700A">
        <w:rPr>
          <w:sz w:val="24"/>
          <w:szCs w:val="24"/>
        </w:rPr>
        <w:t xml:space="preserve"> period</w:t>
      </w:r>
      <w:r w:rsidR="000E700A">
        <w:rPr>
          <w:sz w:val="24"/>
          <w:szCs w:val="24"/>
        </w:rPr>
        <w:t xml:space="preserve"> </w:t>
      </w:r>
      <w:proofErr w:type="spellStart"/>
      <w:r w:rsidR="000E700A">
        <w:rPr>
          <w:sz w:val="24"/>
          <w:szCs w:val="24"/>
        </w:rPr>
        <w:t>i</w:t>
      </w:r>
      <w:proofErr w:type="spellEnd"/>
      <w:r w:rsidR="000E700A">
        <w:rPr>
          <w:sz w:val="24"/>
          <w:szCs w:val="24"/>
        </w:rPr>
        <w:t xml:space="preserve"> </w:t>
      </w:r>
      <w:proofErr w:type="spellStart"/>
      <w:r w:rsidR="000E700A">
        <w:rPr>
          <w:sz w:val="24"/>
          <w:szCs w:val="24"/>
        </w:rPr>
        <w:t>iznosi</w:t>
      </w:r>
      <w:proofErr w:type="spellEnd"/>
      <w:r w:rsidR="000E700A">
        <w:rPr>
          <w:sz w:val="24"/>
          <w:szCs w:val="24"/>
        </w:rPr>
        <w:t xml:space="preserve"> 98,76% </w:t>
      </w:r>
      <w:proofErr w:type="spellStart"/>
      <w:r w:rsidR="000E700A">
        <w:rPr>
          <w:sz w:val="24"/>
          <w:szCs w:val="24"/>
        </w:rPr>
        <w:t>planiranih</w:t>
      </w:r>
      <w:proofErr w:type="spellEnd"/>
      <w:r w:rsidR="000E700A">
        <w:rPr>
          <w:sz w:val="24"/>
          <w:szCs w:val="24"/>
        </w:rPr>
        <w:t xml:space="preserve"> </w:t>
      </w:r>
      <w:proofErr w:type="spellStart"/>
      <w:r w:rsidR="000E700A">
        <w:rPr>
          <w:sz w:val="24"/>
          <w:szCs w:val="24"/>
        </w:rPr>
        <w:t>prihoda</w:t>
      </w:r>
      <w:proofErr w:type="spellEnd"/>
      <w:r w:rsidR="000E700A">
        <w:rPr>
          <w:sz w:val="24"/>
          <w:szCs w:val="24"/>
        </w:rPr>
        <w:t>.</w:t>
      </w:r>
    </w:p>
    <w:p w14:paraId="2F13CF78" w14:textId="77777777" w:rsidR="00A16600" w:rsidRPr="000E700A" w:rsidRDefault="00A16600" w:rsidP="00324432">
      <w:pPr>
        <w:spacing w:line="360" w:lineRule="auto"/>
        <w:jc w:val="both"/>
        <w:rPr>
          <w:sz w:val="24"/>
          <w:szCs w:val="24"/>
        </w:rPr>
      </w:pPr>
    </w:p>
    <w:p w14:paraId="1069407F" w14:textId="47DB0A3B" w:rsidR="00A40785" w:rsidRDefault="00A16600" w:rsidP="00324432">
      <w:pPr>
        <w:spacing w:line="360" w:lineRule="auto"/>
        <w:jc w:val="both"/>
        <w:rPr>
          <w:sz w:val="24"/>
          <w:szCs w:val="24"/>
        </w:rPr>
      </w:pPr>
      <w:r w:rsidRPr="000E700A">
        <w:rPr>
          <w:sz w:val="24"/>
          <w:szCs w:val="24"/>
        </w:rPr>
        <w:t xml:space="preserve">6712 Prihodi </w:t>
      </w:r>
      <w:proofErr w:type="spellStart"/>
      <w:r w:rsidRPr="000E700A">
        <w:rPr>
          <w:sz w:val="24"/>
          <w:szCs w:val="24"/>
        </w:rPr>
        <w:t>iz</w:t>
      </w:r>
      <w:proofErr w:type="spellEnd"/>
      <w:r w:rsidRPr="000E700A">
        <w:rPr>
          <w:sz w:val="24"/>
          <w:szCs w:val="24"/>
        </w:rPr>
        <w:t xml:space="preserve"> </w:t>
      </w:r>
      <w:proofErr w:type="spellStart"/>
      <w:r w:rsidRPr="000E700A">
        <w:rPr>
          <w:sz w:val="24"/>
          <w:szCs w:val="24"/>
        </w:rPr>
        <w:t>nadležnog</w:t>
      </w:r>
      <w:proofErr w:type="spellEnd"/>
      <w:r w:rsidRPr="000E700A">
        <w:rPr>
          <w:sz w:val="24"/>
          <w:szCs w:val="24"/>
        </w:rPr>
        <w:t xml:space="preserve"> </w:t>
      </w:r>
      <w:proofErr w:type="spellStart"/>
      <w:r w:rsidRPr="000E700A">
        <w:rPr>
          <w:sz w:val="24"/>
          <w:szCs w:val="24"/>
        </w:rPr>
        <w:t>proračuna</w:t>
      </w:r>
      <w:proofErr w:type="spellEnd"/>
      <w:r w:rsidRPr="000E700A">
        <w:rPr>
          <w:sz w:val="24"/>
          <w:szCs w:val="24"/>
        </w:rPr>
        <w:t xml:space="preserve"> za </w:t>
      </w:r>
      <w:proofErr w:type="spellStart"/>
      <w:r w:rsidRPr="000E700A">
        <w:rPr>
          <w:sz w:val="24"/>
          <w:szCs w:val="24"/>
        </w:rPr>
        <w:t>financiranje</w:t>
      </w:r>
      <w:proofErr w:type="spellEnd"/>
      <w:r w:rsidRPr="000E700A">
        <w:rPr>
          <w:sz w:val="24"/>
          <w:szCs w:val="24"/>
        </w:rPr>
        <w:t xml:space="preserve"> </w:t>
      </w:r>
      <w:proofErr w:type="spellStart"/>
      <w:r w:rsidRPr="000E700A">
        <w:rPr>
          <w:sz w:val="24"/>
          <w:szCs w:val="24"/>
        </w:rPr>
        <w:t>rashoda</w:t>
      </w:r>
      <w:proofErr w:type="spellEnd"/>
      <w:r w:rsidRPr="000E700A">
        <w:rPr>
          <w:sz w:val="24"/>
          <w:szCs w:val="24"/>
        </w:rPr>
        <w:t xml:space="preserve"> za </w:t>
      </w:r>
      <w:proofErr w:type="spellStart"/>
      <w:r w:rsidRPr="000E700A">
        <w:rPr>
          <w:sz w:val="24"/>
          <w:szCs w:val="24"/>
        </w:rPr>
        <w:t>nabavu</w:t>
      </w:r>
      <w:proofErr w:type="spellEnd"/>
      <w:r w:rsidRPr="000E700A">
        <w:rPr>
          <w:sz w:val="24"/>
          <w:szCs w:val="24"/>
        </w:rPr>
        <w:t xml:space="preserve"> </w:t>
      </w:r>
      <w:proofErr w:type="spellStart"/>
      <w:r w:rsidRPr="000E700A">
        <w:rPr>
          <w:sz w:val="24"/>
          <w:szCs w:val="24"/>
        </w:rPr>
        <w:t>nefinancijske</w:t>
      </w:r>
      <w:proofErr w:type="spellEnd"/>
      <w:r w:rsidRPr="000E700A">
        <w:rPr>
          <w:sz w:val="24"/>
          <w:szCs w:val="24"/>
        </w:rPr>
        <w:t xml:space="preserve"> </w:t>
      </w:r>
      <w:proofErr w:type="spellStart"/>
      <w:r w:rsidRPr="000E700A">
        <w:rPr>
          <w:sz w:val="24"/>
          <w:szCs w:val="24"/>
        </w:rPr>
        <w:t>imovine</w:t>
      </w:r>
      <w:proofErr w:type="spellEnd"/>
      <w:r w:rsidRPr="000E700A">
        <w:rPr>
          <w:sz w:val="24"/>
          <w:szCs w:val="24"/>
        </w:rPr>
        <w:t xml:space="preserve"> –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stavci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w:t>
      </w:r>
      <w:proofErr w:type="spellStart"/>
      <w:r w:rsidRPr="000E700A">
        <w:rPr>
          <w:sz w:val="24"/>
          <w:szCs w:val="24"/>
        </w:rPr>
        <w:t>ostvareni</w:t>
      </w:r>
      <w:proofErr w:type="spellEnd"/>
      <w:r w:rsidRPr="000E700A">
        <w:rPr>
          <w:sz w:val="24"/>
          <w:szCs w:val="24"/>
        </w:rPr>
        <w:t xml:space="preserve"> </w:t>
      </w:r>
      <w:proofErr w:type="spellStart"/>
      <w:r w:rsidRPr="000E700A">
        <w:rPr>
          <w:sz w:val="24"/>
          <w:szCs w:val="24"/>
        </w:rPr>
        <w:t>prihodi</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w:t>
      </w:r>
      <w:r w:rsidR="000A1C65" w:rsidRPr="000E700A">
        <w:rPr>
          <w:sz w:val="24"/>
          <w:szCs w:val="24"/>
        </w:rPr>
        <w:t>3.121.080,41 EUR</w:t>
      </w:r>
      <w:r w:rsidR="002202BA" w:rsidRPr="000E700A">
        <w:rPr>
          <w:sz w:val="24"/>
          <w:szCs w:val="24"/>
        </w:rPr>
        <w:t xml:space="preserve">. </w:t>
      </w:r>
      <w:proofErr w:type="spellStart"/>
      <w:r w:rsidR="00237BFC" w:rsidRPr="000E700A">
        <w:rPr>
          <w:sz w:val="24"/>
          <w:szCs w:val="24"/>
        </w:rPr>
        <w:t>Došlo</w:t>
      </w:r>
      <w:proofErr w:type="spellEnd"/>
      <w:r w:rsidR="00237BFC" w:rsidRPr="000E700A">
        <w:rPr>
          <w:sz w:val="24"/>
          <w:szCs w:val="24"/>
        </w:rPr>
        <w:t xml:space="preserve"> je do </w:t>
      </w:r>
      <w:proofErr w:type="spellStart"/>
      <w:r w:rsidR="00237BFC" w:rsidRPr="000E700A">
        <w:rPr>
          <w:sz w:val="24"/>
          <w:szCs w:val="24"/>
        </w:rPr>
        <w:t>velikog</w:t>
      </w:r>
      <w:proofErr w:type="spellEnd"/>
      <w:r w:rsidR="00237BFC" w:rsidRPr="000E700A">
        <w:rPr>
          <w:sz w:val="24"/>
          <w:szCs w:val="24"/>
        </w:rPr>
        <w:t xml:space="preserve"> </w:t>
      </w:r>
      <w:proofErr w:type="spellStart"/>
      <w:r w:rsidR="00AC7570" w:rsidRPr="000E700A">
        <w:rPr>
          <w:sz w:val="24"/>
          <w:szCs w:val="24"/>
        </w:rPr>
        <w:t>smanjenja</w:t>
      </w:r>
      <w:proofErr w:type="spellEnd"/>
      <w:r w:rsidR="00237BFC" w:rsidRPr="000E700A">
        <w:rPr>
          <w:sz w:val="24"/>
          <w:szCs w:val="24"/>
        </w:rPr>
        <w:t xml:space="preserve"> u </w:t>
      </w:r>
      <w:proofErr w:type="spellStart"/>
      <w:r w:rsidR="00237BFC" w:rsidRPr="000E700A">
        <w:rPr>
          <w:sz w:val="24"/>
          <w:szCs w:val="24"/>
        </w:rPr>
        <w:t>odnosu</w:t>
      </w:r>
      <w:proofErr w:type="spellEnd"/>
      <w:r w:rsidR="00237BFC" w:rsidRPr="000E700A">
        <w:rPr>
          <w:sz w:val="24"/>
          <w:szCs w:val="24"/>
        </w:rPr>
        <w:t xml:space="preserve"> </w:t>
      </w:r>
      <w:proofErr w:type="spellStart"/>
      <w:r w:rsidR="00237BFC" w:rsidRPr="000E700A">
        <w:rPr>
          <w:sz w:val="24"/>
          <w:szCs w:val="24"/>
        </w:rPr>
        <w:t>na</w:t>
      </w:r>
      <w:proofErr w:type="spellEnd"/>
      <w:r w:rsidR="00237BFC" w:rsidRPr="000E700A">
        <w:rPr>
          <w:sz w:val="24"/>
          <w:szCs w:val="24"/>
        </w:rPr>
        <w:t xml:space="preserve"> </w:t>
      </w:r>
      <w:proofErr w:type="spellStart"/>
      <w:r w:rsidR="00237BFC" w:rsidRPr="000E700A">
        <w:rPr>
          <w:sz w:val="24"/>
          <w:szCs w:val="24"/>
        </w:rPr>
        <w:t>izvršenje</w:t>
      </w:r>
      <w:proofErr w:type="spellEnd"/>
      <w:r w:rsidR="00237BFC" w:rsidRPr="000E700A">
        <w:rPr>
          <w:sz w:val="24"/>
          <w:szCs w:val="24"/>
        </w:rPr>
        <w:t xml:space="preserve"> </w:t>
      </w:r>
      <w:proofErr w:type="spellStart"/>
      <w:r w:rsidR="00237BFC" w:rsidRPr="000E700A">
        <w:rPr>
          <w:sz w:val="24"/>
          <w:szCs w:val="24"/>
        </w:rPr>
        <w:t>financijskog</w:t>
      </w:r>
      <w:proofErr w:type="spellEnd"/>
      <w:r w:rsidR="00237BFC" w:rsidRPr="000E700A">
        <w:rPr>
          <w:sz w:val="24"/>
          <w:szCs w:val="24"/>
        </w:rPr>
        <w:t xml:space="preserve"> plana </w:t>
      </w:r>
      <w:proofErr w:type="spellStart"/>
      <w:r w:rsidR="00237BFC" w:rsidRPr="000E700A">
        <w:rPr>
          <w:sz w:val="24"/>
          <w:szCs w:val="24"/>
        </w:rPr>
        <w:t>prethodne</w:t>
      </w:r>
      <w:proofErr w:type="spellEnd"/>
      <w:r w:rsidR="00237BFC" w:rsidRPr="000E700A">
        <w:rPr>
          <w:sz w:val="24"/>
          <w:szCs w:val="24"/>
        </w:rPr>
        <w:t xml:space="preserve"> </w:t>
      </w:r>
      <w:proofErr w:type="spellStart"/>
      <w:r w:rsidR="00237BFC" w:rsidRPr="000E700A">
        <w:rPr>
          <w:sz w:val="24"/>
          <w:szCs w:val="24"/>
        </w:rPr>
        <w:t>godine</w:t>
      </w:r>
      <w:proofErr w:type="spellEnd"/>
      <w:r w:rsidR="00237BFC" w:rsidRPr="000E700A">
        <w:rPr>
          <w:sz w:val="24"/>
          <w:szCs w:val="24"/>
        </w:rPr>
        <w:t>, a</w:t>
      </w:r>
      <w:r w:rsidRPr="000E700A">
        <w:rPr>
          <w:sz w:val="24"/>
          <w:szCs w:val="24"/>
        </w:rPr>
        <w:t xml:space="preserve"> </w:t>
      </w:r>
      <w:proofErr w:type="spellStart"/>
      <w:r w:rsidRPr="000E700A">
        <w:rPr>
          <w:sz w:val="24"/>
          <w:szCs w:val="24"/>
        </w:rPr>
        <w:t>razlog</w:t>
      </w:r>
      <w:proofErr w:type="spellEnd"/>
      <w:r w:rsidRPr="000E700A">
        <w:rPr>
          <w:sz w:val="24"/>
          <w:szCs w:val="24"/>
        </w:rPr>
        <w:t xml:space="preserve"> tome </w:t>
      </w:r>
      <w:proofErr w:type="spellStart"/>
      <w:r w:rsidRPr="000E700A">
        <w:rPr>
          <w:sz w:val="24"/>
          <w:szCs w:val="24"/>
        </w:rPr>
        <w:t>bi</w:t>
      </w:r>
      <w:r w:rsidR="00A875D1" w:rsidRPr="000E700A">
        <w:rPr>
          <w:sz w:val="24"/>
          <w:szCs w:val="24"/>
        </w:rPr>
        <w:t>la</w:t>
      </w:r>
      <w:proofErr w:type="spellEnd"/>
      <w:r w:rsidR="00A875D1" w:rsidRPr="000E700A">
        <w:rPr>
          <w:sz w:val="24"/>
          <w:szCs w:val="24"/>
        </w:rPr>
        <w:t xml:space="preserve"> je </w:t>
      </w:r>
      <w:proofErr w:type="spellStart"/>
      <w:r w:rsidR="00A875D1" w:rsidRPr="000E700A">
        <w:rPr>
          <w:sz w:val="24"/>
          <w:szCs w:val="24"/>
        </w:rPr>
        <w:t>činjenica</w:t>
      </w:r>
      <w:proofErr w:type="spellEnd"/>
      <w:r w:rsidR="00A875D1" w:rsidRPr="000E700A">
        <w:rPr>
          <w:sz w:val="24"/>
          <w:szCs w:val="24"/>
        </w:rPr>
        <w:t xml:space="preserve"> da se </w:t>
      </w:r>
      <w:proofErr w:type="spellStart"/>
      <w:r w:rsidR="00A875D1" w:rsidRPr="000E700A">
        <w:rPr>
          <w:sz w:val="24"/>
          <w:szCs w:val="24"/>
        </w:rPr>
        <w:t>sredstava</w:t>
      </w:r>
      <w:proofErr w:type="spellEnd"/>
      <w:r w:rsidR="004D5FF0" w:rsidRPr="000E700A">
        <w:rPr>
          <w:sz w:val="24"/>
          <w:szCs w:val="24"/>
        </w:rPr>
        <w:t xml:space="preserve"> </w:t>
      </w:r>
      <w:proofErr w:type="spellStart"/>
      <w:r w:rsidR="004D5FF0" w:rsidRPr="000E700A">
        <w:rPr>
          <w:sz w:val="24"/>
          <w:szCs w:val="24"/>
        </w:rPr>
        <w:t>prethodne</w:t>
      </w:r>
      <w:proofErr w:type="spellEnd"/>
      <w:r w:rsidR="004D5FF0" w:rsidRPr="000E700A">
        <w:rPr>
          <w:sz w:val="24"/>
          <w:szCs w:val="24"/>
        </w:rPr>
        <w:t xml:space="preserve"> </w:t>
      </w:r>
      <w:proofErr w:type="spellStart"/>
      <w:r w:rsidR="004D5FF0" w:rsidRPr="000E700A">
        <w:rPr>
          <w:sz w:val="24"/>
          <w:szCs w:val="24"/>
        </w:rPr>
        <w:t>godine</w:t>
      </w:r>
      <w:proofErr w:type="spellEnd"/>
      <w:r w:rsidR="00A875D1" w:rsidRPr="000E700A">
        <w:rPr>
          <w:sz w:val="24"/>
          <w:szCs w:val="24"/>
        </w:rPr>
        <w:t xml:space="preserve"> </w:t>
      </w:r>
      <w:proofErr w:type="spellStart"/>
      <w:r w:rsidR="00A875D1" w:rsidRPr="000E700A">
        <w:rPr>
          <w:sz w:val="24"/>
          <w:szCs w:val="24"/>
        </w:rPr>
        <w:t>uglavnom</w:t>
      </w:r>
      <w:proofErr w:type="spellEnd"/>
      <w:r w:rsidR="00A875D1" w:rsidRPr="000E700A">
        <w:rPr>
          <w:sz w:val="24"/>
          <w:szCs w:val="24"/>
        </w:rPr>
        <w:t xml:space="preserve"> </w:t>
      </w:r>
      <w:proofErr w:type="spellStart"/>
      <w:r w:rsidR="00A875D1" w:rsidRPr="000E700A">
        <w:rPr>
          <w:sz w:val="24"/>
          <w:szCs w:val="24"/>
        </w:rPr>
        <w:t>odnose</w:t>
      </w:r>
      <w:proofErr w:type="spellEnd"/>
      <w:r w:rsidR="00A875D1" w:rsidRPr="000E700A">
        <w:rPr>
          <w:sz w:val="24"/>
          <w:szCs w:val="24"/>
        </w:rPr>
        <w:t xml:space="preserve"> </w:t>
      </w:r>
      <w:proofErr w:type="spellStart"/>
      <w:r w:rsidR="00A875D1" w:rsidRPr="000E700A">
        <w:rPr>
          <w:sz w:val="24"/>
          <w:szCs w:val="24"/>
        </w:rPr>
        <w:t>na</w:t>
      </w:r>
      <w:proofErr w:type="spellEnd"/>
      <w:r w:rsidR="00A875D1" w:rsidRPr="000E700A">
        <w:rPr>
          <w:sz w:val="24"/>
          <w:szCs w:val="24"/>
        </w:rPr>
        <w:t xml:space="preserve"> </w:t>
      </w:r>
      <w:proofErr w:type="spellStart"/>
      <w:r w:rsidR="00A875D1" w:rsidRPr="000E700A">
        <w:rPr>
          <w:sz w:val="24"/>
          <w:szCs w:val="24"/>
        </w:rPr>
        <w:t>nacionalno</w:t>
      </w:r>
      <w:proofErr w:type="spellEnd"/>
      <w:r w:rsidR="00A875D1" w:rsidRPr="000E700A">
        <w:rPr>
          <w:sz w:val="24"/>
          <w:szCs w:val="24"/>
        </w:rPr>
        <w:t xml:space="preserve"> </w:t>
      </w:r>
      <w:proofErr w:type="spellStart"/>
      <w:r w:rsidR="00A875D1" w:rsidRPr="000E700A">
        <w:rPr>
          <w:sz w:val="24"/>
          <w:szCs w:val="24"/>
        </w:rPr>
        <w:t>sufinanciranje</w:t>
      </w:r>
      <w:proofErr w:type="spellEnd"/>
      <w:r w:rsidR="00A875D1" w:rsidRPr="000E700A">
        <w:rPr>
          <w:sz w:val="24"/>
          <w:szCs w:val="24"/>
        </w:rPr>
        <w:t xml:space="preserve"> za </w:t>
      </w:r>
      <w:proofErr w:type="spellStart"/>
      <w:r w:rsidR="00A875D1" w:rsidRPr="000E700A">
        <w:rPr>
          <w:sz w:val="24"/>
          <w:szCs w:val="24"/>
        </w:rPr>
        <w:t>projekt</w:t>
      </w:r>
      <w:proofErr w:type="spellEnd"/>
      <w:r w:rsidR="00A875D1" w:rsidRPr="000E700A">
        <w:rPr>
          <w:sz w:val="24"/>
          <w:szCs w:val="24"/>
        </w:rPr>
        <w:t xml:space="preserve"> „e-</w:t>
      </w:r>
      <w:proofErr w:type="spellStart"/>
      <w:r w:rsidR="00A875D1" w:rsidRPr="000E700A">
        <w:rPr>
          <w:sz w:val="24"/>
          <w:szCs w:val="24"/>
        </w:rPr>
        <w:t>Škole</w:t>
      </w:r>
      <w:proofErr w:type="spellEnd"/>
      <w:r w:rsidR="00A875D1" w:rsidRPr="000E700A">
        <w:rPr>
          <w:sz w:val="24"/>
          <w:szCs w:val="24"/>
        </w:rPr>
        <w:t xml:space="preserve">: </w:t>
      </w:r>
      <w:proofErr w:type="spellStart"/>
      <w:r w:rsidR="00A875D1" w:rsidRPr="000E700A">
        <w:rPr>
          <w:sz w:val="24"/>
          <w:szCs w:val="24"/>
        </w:rPr>
        <w:t>Razvoj</w:t>
      </w:r>
      <w:proofErr w:type="spellEnd"/>
      <w:r w:rsidR="00A875D1" w:rsidRPr="000E700A">
        <w:rPr>
          <w:sz w:val="24"/>
          <w:szCs w:val="24"/>
        </w:rPr>
        <w:t xml:space="preserve"> </w:t>
      </w:r>
      <w:proofErr w:type="spellStart"/>
      <w:r w:rsidR="00A875D1" w:rsidRPr="000E700A">
        <w:rPr>
          <w:sz w:val="24"/>
          <w:szCs w:val="24"/>
        </w:rPr>
        <w:t>sustava</w:t>
      </w:r>
      <w:proofErr w:type="spellEnd"/>
      <w:r w:rsidR="00A875D1" w:rsidRPr="000E700A">
        <w:rPr>
          <w:sz w:val="24"/>
          <w:szCs w:val="24"/>
        </w:rPr>
        <w:t xml:space="preserve"> </w:t>
      </w:r>
      <w:proofErr w:type="spellStart"/>
      <w:r w:rsidR="00A875D1" w:rsidRPr="000E700A">
        <w:rPr>
          <w:sz w:val="24"/>
          <w:szCs w:val="24"/>
        </w:rPr>
        <w:t>digitalno</w:t>
      </w:r>
      <w:proofErr w:type="spellEnd"/>
      <w:r w:rsidR="00A875D1" w:rsidRPr="000E700A">
        <w:rPr>
          <w:sz w:val="24"/>
          <w:szCs w:val="24"/>
        </w:rPr>
        <w:t xml:space="preserve"> </w:t>
      </w:r>
      <w:proofErr w:type="spellStart"/>
      <w:r w:rsidR="00A875D1" w:rsidRPr="000E700A">
        <w:rPr>
          <w:sz w:val="24"/>
          <w:szCs w:val="24"/>
        </w:rPr>
        <w:t>zrelih</w:t>
      </w:r>
      <w:proofErr w:type="spellEnd"/>
      <w:r w:rsidR="00A875D1" w:rsidRPr="000E700A">
        <w:rPr>
          <w:sz w:val="24"/>
          <w:szCs w:val="24"/>
        </w:rPr>
        <w:t xml:space="preserve"> </w:t>
      </w:r>
      <w:proofErr w:type="spellStart"/>
      <w:r w:rsidR="00A875D1" w:rsidRPr="000E700A">
        <w:rPr>
          <w:sz w:val="24"/>
          <w:szCs w:val="24"/>
        </w:rPr>
        <w:t>škola</w:t>
      </w:r>
      <w:proofErr w:type="spellEnd"/>
      <w:r w:rsidR="00A875D1" w:rsidRPr="000E700A">
        <w:rPr>
          <w:sz w:val="24"/>
          <w:szCs w:val="24"/>
        </w:rPr>
        <w:t xml:space="preserve"> (II. </w:t>
      </w:r>
      <w:proofErr w:type="spellStart"/>
      <w:r w:rsidR="00A875D1" w:rsidRPr="000E700A">
        <w:rPr>
          <w:sz w:val="24"/>
          <w:szCs w:val="24"/>
        </w:rPr>
        <w:t>faza</w:t>
      </w:r>
      <w:proofErr w:type="spellEnd"/>
      <w:r w:rsidR="00A875D1" w:rsidRPr="000E700A">
        <w:rPr>
          <w:sz w:val="24"/>
          <w:szCs w:val="24"/>
        </w:rPr>
        <w:t>)”</w:t>
      </w:r>
      <w:r w:rsidR="00AC7570" w:rsidRPr="000E700A">
        <w:rPr>
          <w:sz w:val="24"/>
          <w:szCs w:val="24"/>
        </w:rPr>
        <w:t xml:space="preserve">. </w:t>
      </w:r>
      <w:r w:rsidR="00A875D1" w:rsidRPr="000E700A">
        <w:rPr>
          <w:sz w:val="24"/>
          <w:szCs w:val="24"/>
        </w:rPr>
        <w:t xml:space="preserve"> </w:t>
      </w:r>
    </w:p>
    <w:p w14:paraId="15D84148" w14:textId="4B758289" w:rsidR="00E14E67" w:rsidRPr="00E14E67" w:rsidRDefault="00E14E67" w:rsidP="00324432">
      <w:pPr>
        <w:spacing w:line="360" w:lineRule="auto"/>
        <w:jc w:val="both"/>
        <w:rPr>
          <w:sz w:val="24"/>
          <w:szCs w:val="24"/>
        </w:rPr>
      </w:pPr>
      <w:r w:rsidRPr="00E14E67">
        <w:rPr>
          <w:sz w:val="24"/>
          <w:szCs w:val="24"/>
        </w:rPr>
        <w:lastRenderedPageBreak/>
        <w:t xml:space="preserve">U </w:t>
      </w:r>
      <w:proofErr w:type="spellStart"/>
      <w:r w:rsidRPr="00E14E67">
        <w:rPr>
          <w:sz w:val="24"/>
          <w:szCs w:val="24"/>
        </w:rPr>
        <w:t>nastavku</w:t>
      </w:r>
      <w:proofErr w:type="spellEnd"/>
      <w:r w:rsidRPr="00E14E67">
        <w:rPr>
          <w:sz w:val="24"/>
          <w:szCs w:val="24"/>
        </w:rPr>
        <w:t xml:space="preserve"> je </w:t>
      </w:r>
      <w:r>
        <w:rPr>
          <w:sz w:val="24"/>
          <w:szCs w:val="24"/>
        </w:rPr>
        <w:t xml:space="preserve">dana </w:t>
      </w:r>
      <w:proofErr w:type="spellStart"/>
      <w:r>
        <w:rPr>
          <w:sz w:val="24"/>
          <w:szCs w:val="24"/>
        </w:rPr>
        <w:t>struktura</w:t>
      </w:r>
      <w:proofErr w:type="spellEnd"/>
      <w:r>
        <w:rPr>
          <w:sz w:val="24"/>
          <w:szCs w:val="24"/>
        </w:rPr>
        <w:t xml:space="preserve"> </w:t>
      </w:r>
      <w:proofErr w:type="spellStart"/>
      <w:r>
        <w:rPr>
          <w:sz w:val="24"/>
          <w:szCs w:val="24"/>
        </w:rPr>
        <w:t>prihoda</w:t>
      </w:r>
      <w:proofErr w:type="spellEnd"/>
      <w:r>
        <w:rPr>
          <w:sz w:val="24"/>
          <w:szCs w:val="24"/>
        </w:rPr>
        <w:t xml:space="preserve"> po </w:t>
      </w:r>
      <w:proofErr w:type="spellStart"/>
      <w:r>
        <w:rPr>
          <w:sz w:val="24"/>
          <w:szCs w:val="24"/>
        </w:rPr>
        <w:t>ekonomskoj</w:t>
      </w:r>
      <w:proofErr w:type="spellEnd"/>
      <w:r>
        <w:rPr>
          <w:sz w:val="24"/>
          <w:szCs w:val="24"/>
        </w:rPr>
        <w:t xml:space="preserve"> </w:t>
      </w:r>
      <w:proofErr w:type="spellStart"/>
      <w:r>
        <w:rPr>
          <w:sz w:val="24"/>
          <w:szCs w:val="24"/>
        </w:rPr>
        <w:t>klasifikaciji</w:t>
      </w:r>
      <w:proofErr w:type="spellEnd"/>
      <w:r>
        <w:rPr>
          <w:sz w:val="24"/>
          <w:szCs w:val="24"/>
        </w:rPr>
        <w:t>:</w:t>
      </w:r>
    </w:p>
    <w:p w14:paraId="2CCBDB28" w14:textId="77777777" w:rsidR="00E14E67" w:rsidRPr="00E14E67" w:rsidRDefault="00E14E67" w:rsidP="00324432">
      <w:pPr>
        <w:spacing w:line="360" w:lineRule="auto"/>
        <w:jc w:val="both"/>
        <w:rPr>
          <w:sz w:val="24"/>
          <w:szCs w:val="24"/>
        </w:rPr>
      </w:pPr>
    </w:p>
    <w:tbl>
      <w:tblPr>
        <w:tblW w:w="9520" w:type="dxa"/>
        <w:tblLook w:val="04A0" w:firstRow="1" w:lastRow="0" w:firstColumn="1" w:lastColumn="0" w:noHBand="0" w:noVBand="1"/>
      </w:tblPr>
      <w:tblGrid>
        <w:gridCol w:w="1416"/>
        <w:gridCol w:w="2766"/>
        <w:gridCol w:w="3244"/>
        <w:gridCol w:w="2094"/>
      </w:tblGrid>
      <w:tr w:rsidR="00E14E67" w:rsidRPr="00E14E67" w14:paraId="3DAD0A3D" w14:textId="77777777" w:rsidTr="00E14E67">
        <w:trPr>
          <w:trHeight w:val="855"/>
        </w:trPr>
        <w:tc>
          <w:tcPr>
            <w:tcW w:w="418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11F9B86" w14:textId="77777777" w:rsidR="00E14E67" w:rsidRPr="00E14E67" w:rsidRDefault="00E14E67" w:rsidP="00E14E67">
            <w:pPr>
              <w:jc w:val="center"/>
              <w:rPr>
                <w:b/>
                <w:bCs/>
                <w:sz w:val="24"/>
                <w:szCs w:val="24"/>
                <w:lang w:val="hr-HR" w:eastAsia="hr-HR"/>
              </w:rPr>
            </w:pPr>
            <w:r w:rsidRPr="00E14E67">
              <w:rPr>
                <w:b/>
                <w:bCs/>
                <w:sz w:val="24"/>
                <w:szCs w:val="24"/>
                <w:lang w:val="hr-HR" w:eastAsia="hr-HR"/>
              </w:rPr>
              <w:t>BROJČANA OZNAKA I NAZIV</w:t>
            </w:r>
          </w:p>
        </w:tc>
        <w:tc>
          <w:tcPr>
            <w:tcW w:w="3244" w:type="dxa"/>
            <w:tcBorders>
              <w:top w:val="single" w:sz="4" w:space="0" w:color="auto"/>
              <w:left w:val="nil"/>
              <w:bottom w:val="single" w:sz="4" w:space="0" w:color="auto"/>
              <w:right w:val="single" w:sz="4" w:space="0" w:color="auto"/>
            </w:tcBorders>
            <w:shd w:val="clear" w:color="000000" w:fill="D9D9D9"/>
            <w:vAlign w:val="center"/>
            <w:hideMark/>
          </w:tcPr>
          <w:p w14:paraId="049E1EBA" w14:textId="77777777" w:rsidR="00E14E67" w:rsidRPr="00E14E67" w:rsidRDefault="00E14E67" w:rsidP="00E14E67">
            <w:pPr>
              <w:jc w:val="center"/>
              <w:rPr>
                <w:b/>
                <w:bCs/>
                <w:sz w:val="24"/>
                <w:szCs w:val="24"/>
                <w:lang w:val="hr-HR" w:eastAsia="hr-HR"/>
              </w:rPr>
            </w:pPr>
            <w:r w:rsidRPr="00E14E67">
              <w:rPr>
                <w:b/>
                <w:bCs/>
                <w:sz w:val="24"/>
                <w:szCs w:val="24"/>
                <w:lang w:val="hr-HR" w:eastAsia="hr-HR"/>
              </w:rPr>
              <w:t xml:space="preserve">OSTVARENJE/IZVRŠENJE </w:t>
            </w:r>
            <w:r w:rsidRPr="00E14E67">
              <w:rPr>
                <w:b/>
                <w:bCs/>
                <w:sz w:val="24"/>
                <w:szCs w:val="24"/>
                <w:lang w:val="hr-HR" w:eastAsia="hr-HR"/>
              </w:rPr>
              <w:br/>
              <w:t>01.2024. - 12.2024.</w:t>
            </w:r>
          </w:p>
        </w:tc>
        <w:tc>
          <w:tcPr>
            <w:tcW w:w="2094" w:type="dxa"/>
            <w:tcBorders>
              <w:top w:val="single" w:sz="4" w:space="0" w:color="auto"/>
              <w:left w:val="nil"/>
              <w:bottom w:val="single" w:sz="4" w:space="0" w:color="auto"/>
              <w:right w:val="single" w:sz="4" w:space="0" w:color="auto"/>
            </w:tcBorders>
            <w:shd w:val="clear" w:color="000000" w:fill="D9D9D9"/>
            <w:vAlign w:val="center"/>
            <w:hideMark/>
          </w:tcPr>
          <w:p w14:paraId="410D7E24" w14:textId="77777777" w:rsidR="00E14E67" w:rsidRPr="00E14E67" w:rsidRDefault="00E14E67" w:rsidP="00E14E67">
            <w:pPr>
              <w:jc w:val="center"/>
              <w:rPr>
                <w:b/>
                <w:bCs/>
                <w:sz w:val="24"/>
                <w:szCs w:val="24"/>
                <w:lang w:val="hr-HR" w:eastAsia="hr-HR"/>
              </w:rPr>
            </w:pPr>
            <w:r w:rsidRPr="00E14E67">
              <w:rPr>
                <w:b/>
                <w:bCs/>
                <w:sz w:val="24"/>
                <w:szCs w:val="24"/>
                <w:lang w:val="hr-HR" w:eastAsia="hr-HR"/>
              </w:rPr>
              <w:t>Udio vrste rashoda u ukupnim rashodima</w:t>
            </w:r>
          </w:p>
        </w:tc>
      </w:tr>
      <w:tr w:rsidR="00E14E67" w:rsidRPr="00E14E67" w14:paraId="090B9AC1" w14:textId="77777777" w:rsidTr="00E14E67">
        <w:trPr>
          <w:trHeight w:val="300"/>
        </w:trPr>
        <w:tc>
          <w:tcPr>
            <w:tcW w:w="418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326E93DD" w14:textId="77777777" w:rsidR="00E14E67" w:rsidRPr="00E14E67" w:rsidRDefault="00E14E67" w:rsidP="00E14E67">
            <w:pPr>
              <w:jc w:val="center"/>
              <w:rPr>
                <w:b/>
                <w:bCs/>
                <w:sz w:val="24"/>
                <w:szCs w:val="24"/>
                <w:lang w:val="hr-HR" w:eastAsia="hr-HR"/>
              </w:rPr>
            </w:pPr>
            <w:r w:rsidRPr="00E14E67">
              <w:rPr>
                <w:b/>
                <w:bCs/>
                <w:sz w:val="24"/>
                <w:szCs w:val="24"/>
                <w:lang w:val="hr-HR" w:eastAsia="hr-HR"/>
              </w:rPr>
              <w:t>1</w:t>
            </w:r>
          </w:p>
        </w:tc>
        <w:tc>
          <w:tcPr>
            <w:tcW w:w="3244" w:type="dxa"/>
            <w:tcBorders>
              <w:top w:val="nil"/>
              <w:left w:val="nil"/>
              <w:bottom w:val="single" w:sz="4" w:space="0" w:color="auto"/>
              <w:right w:val="single" w:sz="4" w:space="0" w:color="auto"/>
            </w:tcBorders>
            <w:shd w:val="clear" w:color="000000" w:fill="D9D9D9"/>
            <w:noWrap/>
            <w:vAlign w:val="center"/>
            <w:hideMark/>
          </w:tcPr>
          <w:p w14:paraId="572B469F" w14:textId="77777777" w:rsidR="00E14E67" w:rsidRPr="00E14E67" w:rsidRDefault="00E14E67" w:rsidP="00E14E67">
            <w:pPr>
              <w:jc w:val="center"/>
              <w:rPr>
                <w:b/>
                <w:bCs/>
                <w:sz w:val="24"/>
                <w:szCs w:val="24"/>
                <w:lang w:val="hr-HR" w:eastAsia="hr-HR"/>
              </w:rPr>
            </w:pPr>
            <w:r w:rsidRPr="00E14E67">
              <w:rPr>
                <w:b/>
                <w:bCs/>
                <w:sz w:val="24"/>
                <w:szCs w:val="24"/>
                <w:lang w:val="hr-HR" w:eastAsia="hr-HR"/>
              </w:rPr>
              <w:t>5</w:t>
            </w:r>
          </w:p>
        </w:tc>
        <w:tc>
          <w:tcPr>
            <w:tcW w:w="2094" w:type="dxa"/>
            <w:tcBorders>
              <w:top w:val="nil"/>
              <w:left w:val="nil"/>
              <w:bottom w:val="single" w:sz="4" w:space="0" w:color="auto"/>
              <w:right w:val="single" w:sz="4" w:space="0" w:color="auto"/>
            </w:tcBorders>
            <w:shd w:val="clear" w:color="000000" w:fill="D9D9D9"/>
            <w:noWrap/>
            <w:vAlign w:val="center"/>
            <w:hideMark/>
          </w:tcPr>
          <w:p w14:paraId="32412A96" w14:textId="77777777" w:rsidR="00E14E67" w:rsidRPr="00E14E67" w:rsidRDefault="00E14E67" w:rsidP="00E14E67">
            <w:pPr>
              <w:jc w:val="center"/>
              <w:rPr>
                <w:b/>
                <w:bCs/>
                <w:sz w:val="24"/>
                <w:szCs w:val="24"/>
                <w:lang w:val="hr-HR" w:eastAsia="hr-HR"/>
              </w:rPr>
            </w:pPr>
            <w:r w:rsidRPr="00E14E67">
              <w:rPr>
                <w:b/>
                <w:bCs/>
                <w:sz w:val="24"/>
                <w:szCs w:val="24"/>
                <w:lang w:val="hr-HR" w:eastAsia="hr-HR"/>
              </w:rPr>
              <w:t> </w:t>
            </w:r>
          </w:p>
        </w:tc>
      </w:tr>
      <w:tr w:rsidR="00E14E67" w:rsidRPr="00E14E67" w14:paraId="31D3F92D" w14:textId="77777777" w:rsidTr="00E14E67">
        <w:trPr>
          <w:trHeight w:val="300"/>
        </w:trPr>
        <w:tc>
          <w:tcPr>
            <w:tcW w:w="846" w:type="dxa"/>
            <w:tcBorders>
              <w:top w:val="nil"/>
              <w:left w:val="single" w:sz="4" w:space="0" w:color="auto"/>
              <w:bottom w:val="single" w:sz="4" w:space="0" w:color="auto"/>
              <w:right w:val="single" w:sz="4" w:space="0" w:color="auto"/>
            </w:tcBorders>
            <w:shd w:val="clear" w:color="000000" w:fill="DAF2D0"/>
            <w:noWrap/>
            <w:vAlign w:val="center"/>
            <w:hideMark/>
          </w:tcPr>
          <w:p w14:paraId="1D3CA4EC" w14:textId="77777777" w:rsidR="00E14E67" w:rsidRPr="00E14E67" w:rsidRDefault="00E14E67" w:rsidP="00E14E67">
            <w:pPr>
              <w:jc w:val="center"/>
              <w:rPr>
                <w:sz w:val="24"/>
                <w:szCs w:val="24"/>
                <w:lang w:val="hr-HR" w:eastAsia="hr-HR"/>
              </w:rPr>
            </w:pPr>
            <w:r w:rsidRPr="00E14E67">
              <w:rPr>
                <w:sz w:val="24"/>
                <w:szCs w:val="24"/>
                <w:lang w:val="hr-HR" w:eastAsia="hr-HR"/>
              </w:rPr>
              <w:t> </w:t>
            </w:r>
          </w:p>
        </w:tc>
        <w:tc>
          <w:tcPr>
            <w:tcW w:w="3336" w:type="dxa"/>
            <w:tcBorders>
              <w:top w:val="nil"/>
              <w:left w:val="nil"/>
              <w:bottom w:val="single" w:sz="4" w:space="0" w:color="auto"/>
              <w:right w:val="single" w:sz="4" w:space="0" w:color="auto"/>
            </w:tcBorders>
            <w:shd w:val="clear" w:color="000000" w:fill="DAF2D0"/>
            <w:hideMark/>
          </w:tcPr>
          <w:p w14:paraId="3A8FBE29" w14:textId="77777777" w:rsidR="00E14E67" w:rsidRPr="00E14E67" w:rsidRDefault="00E14E67" w:rsidP="00E14E67">
            <w:pPr>
              <w:rPr>
                <w:b/>
                <w:bCs/>
                <w:sz w:val="24"/>
                <w:szCs w:val="24"/>
                <w:lang w:val="hr-HR" w:eastAsia="hr-HR"/>
              </w:rPr>
            </w:pPr>
            <w:r w:rsidRPr="00E14E67">
              <w:rPr>
                <w:b/>
                <w:bCs/>
                <w:sz w:val="24"/>
                <w:szCs w:val="24"/>
                <w:lang w:val="hr-HR" w:eastAsia="hr-HR"/>
              </w:rPr>
              <w:t>UKUPNI PRIHODI</w:t>
            </w:r>
          </w:p>
        </w:tc>
        <w:tc>
          <w:tcPr>
            <w:tcW w:w="3244" w:type="dxa"/>
            <w:tcBorders>
              <w:top w:val="nil"/>
              <w:left w:val="nil"/>
              <w:bottom w:val="single" w:sz="4" w:space="0" w:color="auto"/>
              <w:right w:val="single" w:sz="4" w:space="0" w:color="auto"/>
            </w:tcBorders>
            <w:shd w:val="clear" w:color="000000" w:fill="DAF2D0"/>
            <w:noWrap/>
            <w:vAlign w:val="center"/>
            <w:hideMark/>
          </w:tcPr>
          <w:p w14:paraId="377F0F39" w14:textId="77777777" w:rsidR="00E14E67" w:rsidRPr="00E14E67" w:rsidRDefault="00E14E67" w:rsidP="00E14E67">
            <w:pPr>
              <w:jc w:val="right"/>
              <w:rPr>
                <w:b/>
                <w:bCs/>
                <w:color w:val="000000"/>
                <w:sz w:val="24"/>
                <w:szCs w:val="24"/>
                <w:lang w:val="hr-HR" w:eastAsia="hr-HR"/>
              </w:rPr>
            </w:pPr>
            <w:r w:rsidRPr="00E14E67">
              <w:rPr>
                <w:b/>
                <w:bCs/>
                <w:color w:val="000000"/>
                <w:sz w:val="24"/>
                <w:szCs w:val="24"/>
                <w:lang w:val="hr-HR" w:eastAsia="hr-HR"/>
              </w:rPr>
              <w:t>32.052.233,82</w:t>
            </w:r>
          </w:p>
        </w:tc>
        <w:tc>
          <w:tcPr>
            <w:tcW w:w="2094" w:type="dxa"/>
            <w:tcBorders>
              <w:top w:val="nil"/>
              <w:left w:val="nil"/>
              <w:bottom w:val="single" w:sz="4" w:space="0" w:color="auto"/>
              <w:right w:val="single" w:sz="4" w:space="0" w:color="auto"/>
            </w:tcBorders>
            <w:shd w:val="clear" w:color="000000" w:fill="DAF2D0"/>
            <w:noWrap/>
            <w:vAlign w:val="center"/>
            <w:hideMark/>
          </w:tcPr>
          <w:p w14:paraId="2077DFDE" w14:textId="77777777" w:rsidR="00E14E67" w:rsidRPr="00E14E67" w:rsidRDefault="00E14E67" w:rsidP="00E14E67">
            <w:pPr>
              <w:jc w:val="right"/>
              <w:rPr>
                <w:b/>
                <w:bCs/>
                <w:color w:val="000000"/>
                <w:sz w:val="24"/>
                <w:szCs w:val="24"/>
                <w:lang w:val="hr-HR" w:eastAsia="hr-HR"/>
              </w:rPr>
            </w:pPr>
            <w:r w:rsidRPr="00E14E67">
              <w:rPr>
                <w:b/>
                <w:bCs/>
                <w:color w:val="000000"/>
                <w:sz w:val="24"/>
                <w:szCs w:val="24"/>
                <w:lang w:val="hr-HR" w:eastAsia="hr-HR"/>
              </w:rPr>
              <w:t>100,00%</w:t>
            </w:r>
          </w:p>
        </w:tc>
      </w:tr>
      <w:tr w:rsidR="00E14E67" w:rsidRPr="00E14E67" w14:paraId="20642610" w14:textId="77777777" w:rsidTr="00E14E67">
        <w:trPr>
          <w:trHeight w:val="51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C0B0FA9" w14:textId="77777777" w:rsidR="00E14E67" w:rsidRPr="00E14E67" w:rsidRDefault="00E14E67" w:rsidP="00E14E67">
            <w:pPr>
              <w:ind w:firstLineChars="400" w:firstLine="960"/>
              <w:rPr>
                <w:sz w:val="24"/>
                <w:szCs w:val="24"/>
                <w:lang w:val="hr-HR" w:eastAsia="hr-HR"/>
              </w:rPr>
            </w:pPr>
            <w:r w:rsidRPr="00E14E67">
              <w:rPr>
                <w:sz w:val="24"/>
                <w:szCs w:val="24"/>
                <w:lang w:val="hr-HR" w:eastAsia="hr-HR"/>
              </w:rPr>
              <w:t>63</w:t>
            </w:r>
          </w:p>
        </w:tc>
        <w:tc>
          <w:tcPr>
            <w:tcW w:w="3336" w:type="dxa"/>
            <w:tcBorders>
              <w:top w:val="nil"/>
              <w:left w:val="nil"/>
              <w:bottom w:val="single" w:sz="4" w:space="0" w:color="auto"/>
              <w:right w:val="single" w:sz="4" w:space="0" w:color="auto"/>
            </w:tcBorders>
            <w:shd w:val="clear" w:color="auto" w:fill="auto"/>
            <w:vAlign w:val="center"/>
            <w:hideMark/>
          </w:tcPr>
          <w:p w14:paraId="3F6497D8" w14:textId="77777777" w:rsidR="00E14E67" w:rsidRPr="00E14E67" w:rsidRDefault="00E14E67" w:rsidP="00E14E67">
            <w:pPr>
              <w:rPr>
                <w:sz w:val="24"/>
                <w:szCs w:val="24"/>
                <w:lang w:val="hr-HR" w:eastAsia="hr-HR"/>
              </w:rPr>
            </w:pPr>
            <w:r w:rsidRPr="00E14E67">
              <w:rPr>
                <w:sz w:val="24"/>
                <w:szCs w:val="24"/>
                <w:lang w:val="hr-HR" w:eastAsia="hr-HR"/>
              </w:rPr>
              <w:t>Pomoći iz inozemstva i od subjekata unutar općeg proračuna</w:t>
            </w:r>
          </w:p>
        </w:tc>
        <w:tc>
          <w:tcPr>
            <w:tcW w:w="3244" w:type="dxa"/>
            <w:tcBorders>
              <w:top w:val="nil"/>
              <w:left w:val="nil"/>
              <w:bottom w:val="single" w:sz="4" w:space="0" w:color="auto"/>
              <w:right w:val="single" w:sz="4" w:space="0" w:color="auto"/>
            </w:tcBorders>
            <w:shd w:val="clear" w:color="auto" w:fill="auto"/>
            <w:noWrap/>
            <w:vAlign w:val="center"/>
            <w:hideMark/>
          </w:tcPr>
          <w:p w14:paraId="1121FDF5"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11.606.420,53</w:t>
            </w:r>
          </w:p>
        </w:tc>
        <w:tc>
          <w:tcPr>
            <w:tcW w:w="2094" w:type="dxa"/>
            <w:tcBorders>
              <w:top w:val="nil"/>
              <w:left w:val="nil"/>
              <w:bottom w:val="single" w:sz="4" w:space="0" w:color="auto"/>
              <w:right w:val="single" w:sz="4" w:space="0" w:color="auto"/>
            </w:tcBorders>
            <w:shd w:val="clear" w:color="auto" w:fill="auto"/>
            <w:noWrap/>
            <w:vAlign w:val="center"/>
            <w:hideMark/>
          </w:tcPr>
          <w:p w14:paraId="6018543A"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36,21%</w:t>
            </w:r>
          </w:p>
        </w:tc>
      </w:tr>
      <w:tr w:rsidR="00E14E67" w:rsidRPr="00E14E67" w14:paraId="03C080AD" w14:textId="77777777" w:rsidTr="00E14E67">
        <w:trPr>
          <w:trHeight w:val="765"/>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D150A5B" w14:textId="77777777" w:rsidR="00E14E67" w:rsidRPr="00E14E67" w:rsidRDefault="00E14E67" w:rsidP="00E14E67">
            <w:pPr>
              <w:ind w:firstLineChars="400" w:firstLine="960"/>
              <w:rPr>
                <w:sz w:val="24"/>
                <w:szCs w:val="24"/>
                <w:lang w:val="hr-HR" w:eastAsia="hr-HR"/>
              </w:rPr>
            </w:pPr>
            <w:r w:rsidRPr="00E14E67">
              <w:rPr>
                <w:sz w:val="24"/>
                <w:szCs w:val="24"/>
                <w:lang w:val="hr-HR" w:eastAsia="hr-HR"/>
              </w:rPr>
              <w:t>65</w:t>
            </w:r>
          </w:p>
        </w:tc>
        <w:tc>
          <w:tcPr>
            <w:tcW w:w="3336" w:type="dxa"/>
            <w:tcBorders>
              <w:top w:val="nil"/>
              <w:left w:val="nil"/>
              <w:bottom w:val="single" w:sz="4" w:space="0" w:color="auto"/>
              <w:right w:val="single" w:sz="4" w:space="0" w:color="auto"/>
            </w:tcBorders>
            <w:shd w:val="clear" w:color="auto" w:fill="auto"/>
            <w:vAlign w:val="center"/>
            <w:hideMark/>
          </w:tcPr>
          <w:p w14:paraId="6B3B1707" w14:textId="77777777" w:rsidR="00E14E67" w:rsidRPr="00E14E67" w:rsidRDefault="00E14E67" w:rsidP="00E14E67">
            <w:pPr>
              <w:rPr>
                <w:sz w:val="24"/>
                <w:szCs w:val="24"/>
                <w:lang w:val="hr-HR" w:eastAsia="hr-HR"/>
              </w:rPr>
            </w:pPr>
            <w:r w:rsidRPr="00E14E67">
              <w:rPr>
                <w:sz w:val="24"/>
                <w:szCs w:val="24"/>
                <w:lang w:val="hr-HR" w:eastAsia="hr-HR"/>
              </w:rPr>
              <w:t>Prihodi od upravnih i administrativnih pristojbi, pristojbi po posebnim propisima i naknada</w:t>
            </w:r>
          </w:p>
        </w:tc>
        <w:tc>
          <w:tcPr>
            <w:tcW w:w="3244" w:type="dxa"/>
            <w:tcBorders>
              <w:top w:val="nil"/>
              <w:left w:val="nil"/>
              <w:bottom w:val="single" w:sz="4" w:space="0" w:color="auto"/>
              <w:right w:val="single" w:sz="4" w:space="0" w:color="auto"/>
            </w:tcBorders>
            <w:shd w:val="clear" w:color="auto" w:fill="auto"/>
            <w:noWrap/>
            <w:vAlign w:val="center"/>
            <w:hideMark/>
          </w:tcPr>
          <w:p w14:paraId="54EF5CCE"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2.004.565,45</w:t>
            </w:r>
          </w:p>
        </w:tc>
        <w:tc>
          <w:tcPr>
            <w:tcW w:w="2094" w:type="dxa"/>
            <w:tcBorders>
              <w:top w:val="nil"/>
              <w:left w:val="nil"/>
              <w:bottom w:val="single" w:sz="4" w:space="0" w:color="auto"/>
              <w:right w:val="single" w:sz="4" w:space="0" w:color="auto"/>
            </w:tcBorders>
            <w:shd w:val="clear" w:color="auto" w:fill="auto"/>
            <w:noWrap/>
            <w:vAlign w:val="center"/>
            <w:hideMark/>
          </w:tcPr>
          <w:p w14:paraId="7DC82F03"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6,25%</w:t>
            </w:r>
          </w:p>
        </w:tc>
      </w:tr>
      <w:tr w:rsidR="00E14E67" w:rsidRPr="00E14E67" w14:paraId="553BC274" w14:textId="77777777" w:rsidTr="00E14E67">
        <w:trPr>
          <w:trHeight w:val="765"/>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B15269F" w14:textId="77777777" w:rsidR="00E14E67" w:rsidRPr="00E14E67" w:rsidRDefault="00E14E67" w:rsidP="00E14E67">
            <w:pPr>
              <w:ind w:firstLineChars="400" w:firstLine="960"/>
              <w:rPr>
                <w:sz w:val="24"/>
                <w:szCs w:val="24"/>
                <w:lang w:val="hr-HR" w:eastAsia="hr-HR"/>
              </w:rPr>
            </w:pPr>
            <w:r w:rsidRPr="00E14E67">
              <w:rPr>
                <w:sz w:val="24"/>
                <w:szCs w:val="24"/>
                <w:lang w:val="hr-HR" w:eastAsia="hr-HR"/>
              </w:rPr>
              <w:t>66</w:t>
            </w:r>
          </w:p>
        </w:tc>
        <w:tc>
          <w:tcPr>
            <w:tcW w:w="3336" w:type="dxa"/>
            <w:tcBorders>
              <w:top w:val="nil"/>
              <w:left w:val="nil"/>
              <w:bottom w:val="single" w:sz="4" w:space="0" w:color="auto"/>
              <w:right w:val="single" w:sz="4" w:space="0" w:color="auto"/>
            </w:tcBorders>
            <w:shd w:val="clear" w:color="auto" w:fill="auto"/>
            <w:vAlign w:val="center"/>
            <w:hideMark/>
          </w:tcPr>
          <w:p w14:paraId="457756F6" w14:textId="77777777" w:rsidR="00E14E67" w:rsidRPr="00E14E67" w:rsidRDefault="00E14E67" w:rsidP="00E14E67">
            <w:pPr>
              <w:rPr>
                <w:sz w:val="24"/>
                <w:szCs w:val="24"/>
                <w:lang w:val="hr-HR" w:eastAsia="hr-HR"/>
              </w:rPr>
            </w:pPr>
            <w:r w:rsidRPr="00E14E67">
              <w:rPr>
                <w:sz w:val="24"/>
                <w:szCs w:val="24"/>
                <w:lang w:val="hr-HR" w:eastAsia="hr-HR"/>
              </w:rPr>
              <w:t>Prihodi od prodaje proizvoda i robe te pruženih usluga, prihodi od donacija te povrati po protestiranim jamstvima</w:t>
            </w:r>
          </w:p>
        </w:tc>
        <w:tc>
          <w:tcPr>
            <w:tcW w:w="3244" w:type="dxa"/>
            <w:tcBorders>
              <w:top w:val="nil"/>
              <w:left w:val="nil"/>
              <w:bottom w:val="single" w:sz="4" w:space="0" w:color="auto"/>
              <w:right w:val="single" w:sz="4" w:space="0" w:color="auto"/>
            </w:tcBorders>
            <w:shd w:val="clear" w:color="auto" w:fill="auto"/>
            <w:noWrap/>
            <w:vAlign w:val="center"/>
            <w:hideMark/>
          </w:tcPr>
          <w:p w14:paraId="0E4FF3DC"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283.637,06</w:t>
            </w:r>
          </w:p>
        </w:tc>
        <w:tc>
          <w:tcPr>
            <w:tcW w:w="2094" w:type="dxa"/>
            <w:tcBorders>
              <w:top w:val="nil"/>
              <w:left w:val="nil"/>
              <w:bottom w:val="single" w:sz="4" w:space="0" w:color="auto"/>
              <w:right w:val="single" w:sz="4" w:space="0" w:color="auto"/>
            </w:tcBorders>
            <w:shd w:val="clear" w:color="auto" w:fill="auto"/>
            <w:noWrap/>
            <w:vAlign w:val="center"/>
            <w:hideMark/>
          </w:tcPr>
          <w:p w14:paraId="2C4B0641"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0,88%</w:t>
            </w:r>
          </w:p>
        </w:tc>
      </w:tr>
      <w:tr w:rsidR="00E14E67" w:rsidRPr="00E14E67" w14:paraId="71D6E707" w14:textId="77777777" w:rsidTr="00E14E67">
        <w:trPr>
          <w:trHeight w:val="51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09FC9FC" w14:textId="00C06A0A" w:rsidR="00E14E67" w:rsidRPr="00E14E67" w:rsidRDefault="00880666" w:rsidP="00E14E67">
            <w:pPr>
              <w:ind w:firstLineChars="300" w:firstLine="720"/>
              <w:rPr>
                <w:sz w:val="24"/>
                <w:szCs w:val="24"/>
                <w:lang w:val="hr-HR" w:eastAsia="hr-HR"/>
              </w:rPr>
            </w:pPr>
            <w:r>
              <w:rPr>
                <w:sz w:val="24"/>
                <w:szCs w:val="24"/>
                <w:lang w:val="hr-HR" w:eastAsia="hr-HR"/>
              </w:rPr>
              <w:t xml:space="preserve">    67</w:t>
            </w:r>
          </w:p>
        </w:tc>
        <w:tc>
          <w:tcPr>
            <w:tcW w:w="3336" w:type="dxa"/>
            <w:tcBorders>
              <w:top w:val="nil"/>
              <w:left w:val="nil"/>
              <w:bottom w:val="single" w:sz="4" w:space="0" w:color="auto"/>
              <w:right w:val="single" w:sz="4" w:space="0" w:color="auto"/>
            </w:tcBorders>
            <w:shd w:val="clear" w:color="auto" w:fill="auto"/>
            <w:vAlign w:val="center"/>
            <w:hideMark/>
          </w:tcPr>
          <w:p w14:paraId="3D14AD53" w14:textId="77777777" w:rsidR="00E14E67" w:rsidRPr="00E14E67" w:rsidRDefault="00E14E67" w:rsidP="00E14E67">
            <w:pPr>
              <w:rPr>
                <w:sz w:val="24"/>
                <w:szCs w:val="24"/>
                <w:lang w:val="hr-HR" w:eastAsia="hr-HR"/>
              </w:rPr>
            </w:pPr>
            <w:r w:rsidRPr="00E14E67">
              <w:rPr>
                <w:sz w:val="24"/>
                <w:szCs w:val="24"/>
                <w:lang w:val="hr-HR" w:eastAsia="hr-HR"/>
              </w:rPr>
              <w:t>Prihodi iz nadležnog proračuna i od HZZO-a temeljem ugovornih obveza</w:t>
            </w:r>
          </w:p>
        </w:tc>
        <w:tc>
          <w:tcPr>
            <w:tcW w:w="3244" w:type="dxa"/>
            <w:tcBorders>
              <w:top w:val="nil"/>
              <w:left w:val="nil"/>
              <w:bottom w:val="single" w:sz="4" w:space="0" w:color="auto"/>
              <w:right w:val="single" w:sz="4" w:space="0" w:color="auto"/>
            </w:tcBorders>
            <w:shd w:val="clear" w:color="auto" w:fill="auto"/>
            <w:noWrap/>
            <w:vAlign w:val="center"/>
            <w:hideMark/>
          </w:tcPr>
          <w:p w14:paraId="5D4A2ED4"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18.157.610,78</w:t>
            </w:r>
          </w:p>
        </w:tc>
        <w:tc>
          <w:tcPr>
            <w:tcW w:w="2094" w:type="dxa"/>
            <w:tcBorders>
              <w:top w:val="nil"/>
              <w:left w:val="nil"/>
              <w:bottom w:val="single" w:sz="4" w:space="0" w:color="auto"/>
              <w:right w:val="single" w:sz="4" w:space="0" w:color="auto"/>
            </w:tcBorders>
            <w:shd w:val="clear" w:color="auto" w:fill="auto"/>
            <w:noWrap/>
            <w:vAlign w:val="center"/>
            <w:hideMark/>
          </w:tcPr>
          <w:p w14:paraId="01F36784" w14:textId="77777777" w:rsidR="00E14E67" w:rsidRPr="00E14E67" w:rsidRDefault="00E14E67" w:rsidP="00E14E67">
            <w:pPr>
              <w:jc w:val="right"/>
              <w:rPr>
                <w:color w:val="000000"/>
                <w:sz w:val="24"/>
                <w:szCs w:val="24"/>
                <w:lang w:val="hr-HR" w:eastAsia="hr-HR"/>
              </w:rPr>
            </w:pPr>
            <w:r w:rsidRPr="00E14E67">
              <w:rPr>
                <w:color w:val="000000"/>
                <w:sz w:val="24"/>
                <w:szCs w:val="24"/>
                <w:lang w:val="hr-HR" w:eastAsia="hr-HR"/>
              </w:rPr>
              <w:t>56,65%</w:t>
            </w:r>
          </w:p>
        </w:tc>
      </w:tr>
    </w:tbl>
    <w:p w14:paraId="41F77EF2" w14:textId="77777777" w:rsidR="00E14E67" w:rsidRPr="000E700A" w:rsidRDefault="00E14E67" w:rsidP="00324432">
      <w:pPr>
        <w:spacing w:line="360" w:lineRule="auto"/>
        <w:jc w:val="both"/>
        <w:rPr>
          <w:sz w:val="24"/>
          <w:szCs w:val="24"/>
        </w:rPr>
      </w:pPr>
    </w:p>
    <w:p w14:paraId="2E09EE77" w14:textId="77777777" w:rsidR="00324432" w:rsidRPr="000E700A" w:rsidRDefault="00324432" w:rsidP="00324432">
      <w:pPr>
        <w:spacing w:line="360" w:lineRule="auto"/>
        <w:jc w:val="both"/>
        <w:rPr>
          <w:b/>
          <w:sz w:val="24"/>
          <w:szCs w:val="24"/>
          <w:lang w:val="hr-HR"/>
        </w:rPr>
      </w:pPr>
    </w:p>
    <w:p w14:paraId="52612E63" w14:textId="497BC697" w:rsidR="00324432" w:rsidRPr="000E700A" w:rsidRDefault="003658C5" w:rsidP="000D08CE">
      <w:pPr>
        <w:pStyle w:val="ListParagraph"/>
        <w:numPr>
          <w:ilvl w:val="0"/>
          <w:numId w:val="2"/>
        </w:numPr>
        <w:spacing w:line="360" w:lineRule="auto"/>
        <w:jc w:val="both"/>
        <w:rPr>
          <w:b/>
          <w:sz w:val="24"/>
          <w:szCs w:val="24"/>
          <w:lang w:val="hr-HR"/>
        </w:rPr>
      </w:pPr>
      <w:r w:rsidRPr="000E700A">
        <w:rPr>
          <w:b/>
          <w:sz w:val="24"/>
          <w:szCs w:val="24"/>
          <w:lang w:val="hr-HR"/>
        </w:rPr>
        <w:t>RASHODI POSLOVANJA</w:t>
      </w:r>
    </w:p>
    <w:p w14:paraId="3FA5DAA7" w14:textId="77777777" w:rsidR="00324432" w:rsidRPr="000E700A" w:rsidRDefault="00324432" w:rsidP="00324432">
      <w:pPr>
        <w:spacing w:line="360" w:lineRule="auto"/>
        <w:jc w:val="both"/>
        <w:rPr>
          <w:b/>
          <w:sz w:val="24"/>
          <w:szCs w:val="24"/>
          <w:lang w:val="hr-HR"/>
        </w:rPr>
      </w:pPr>
    </w:p>
    <w:p w14:paraId="65249C59" w14:textId="37406098" w:rsidR="008A71F1" w:rsidRPr="000E700A" w:rsidRDefault="000D08CE" w:rsidP="008A71F1">
      <w:pPr>
        <w:spacing w:line="360" w:lineRule="auto"/>
        <w:jc w:val="both"/>
        <w:rPr>
          <w:sz w:val="24"/>
          <w:szCs w:val="24"/>
          <w:lang w:val="hr-HR"/>
        </w:rPr>
      </w:pPr>
      <w:proofErr w:type="spellStart"/>
      <w:r w:rsidRPr="000E700A">
        <w:rPr>
          <w:sz w:val="24"/>
          <w:szCs w:val="24"/>
        </w:rPr>
        <w:t>Ukupni</w:t>
      </w:r>
      <w:proofErr w:type="spellEnd"/>
      <w:r w:rsidRPr="000E700A">
        <w:rPr>
          <w:sz w:val="24"/>
          <w:szCs w:val="24"/>
        </w:rPr>
        <w:t xml:space="preserve"> </w:t>
      </w:r>
      <w:proofErr w:type="spellStart"/>
      <w:r w:rsidRPr="000E700A">
        <w:rPr>
          <w:sz w:val="24"/>
          <w:szCs w:val="24"/>
        </w:rPr>
        <w:t>rashodi</w:t>
      </w:r>
      <w:proofErr w:type="spellEnd"/>
      <w:r w:rsidRPr="000E700A">
        <w:rPr>
          <w:sz w:val="24"/>
          <w:szCs w:val="24"/>
        </w:rPr>
        <w:t xml:space="preserve"> </w:t>
      </w:r>
      <w:proofErr w:type="spellStart"/>
      <w:r w:rsidRPr="000E700A">
        <w:rPr>
          <w:sz w:val="24"/>
          <w:szCs w:val="24"/>
        </w:rPr>
        <w:t>Hrvatske</w:t>
      </w:r>
      <w:proofErr w:type="spellEnd"/>
      <w:r w:rsidRPr="000E700A">
        <w:rPr>
          <w:sz w:val="24"/>
          <w:szCs w:val="24"/>
        </w:rPr>
        <w:t xml:space="preserve"> </w:t>
      </w:r>
      <w:proofErr w:type="spellStart"/>
      <w:r w:rsidRPr="000E700A">
        <w:rPr>
          <w:sz w:val="24"/>
          <w:szCs w:val="24"/>
        </w:rPr>
        <w:t>akademske</w:t>
      </w:r>
      <w:proofErr w:type="spellEnd"/>
      <w:r w:rsidRPr="000E700A">
        <w:rPr>
          <w:sz w:val="24"/>
          <w:szCs w:val="24"/>
        </w:rPr>
        <w:t xml:space="preserve"> </w:t>
      </w:r>
      <w:proofErr w:type="spellStart"/>
      <w:r w:rsidRPr="000E700A">
        <w:rPr>
          <w:sz w:val="24"/>
          <w:szCs w:val="24"/>
        </w:rPr>
        <w:t>istraživačke</w:t>
      </w:r>
      <w:proofErr w:type="spellEnd"/>
      <w:r w:rsidRPr="000E700A">
        <w:rPr>
          <w:sz w:val="24"/>
          <w:szCs w:val="24"/>
        </w:rPr>
        <w:t xml:space="preserve"> </w:t>
      </w:r>
      <w:proofErr w:type="spellStart"/>
      <w:r w:rsidRPr="000E700A">
        <w:rPr>
          <w:sz w:val="24"/>
          <w:szCs w:val="24"/>
        </w:rPr>
        <w:t>mreže</w:t>
      </w:r>
      <w:proofErr w:type="spellEnd"/>
      <w:r w:rsidRPr="000E700A">
        <w:rPr>
          <w:sz w:val="24"/>
          <w:szCs w:val="24"/>
        </w:rPr>
        <w:t xml:space="preserve"> - CARNET u 202</w:t>
      </w:r>
      <w:r w:rsidR="005D62BB" w:rsidRPr="000E700A">
        <w:rPr>
          <w:sz w:val="24"/>
          <w:szCs w:val="24"/>
        </w:rPr>
        <w:t>4</w:t>
      </w:r>
      <w:r w:rsidRPr="000E700A">
        <w:rPr>
          <w:sz w:val="24"/>
          <w:szCs w:val="24"/>
        </w:rPr>
        <w:t xml:space="preserve">. </w:t>
      </w:r>
      <w:proofErr w:type="spellStart"/>
      <w:r w:rsidR="008A71F1" w:rsidRPr="000E700A">
        <w:rPr>
          <w:sz w:val="24"/>
          <w:szCs w:val="24"/>
        </w:rPr>
        <w:t>g</w:t>
      </w:r>
      <w:r w:rsidRPr="000E700A">
        <w:rPr>
          <w:sz w:val="24"/>
          <w:szCs w:val="24"/>
        </w:rPr>
        <w:t>odin</w:t>
      </w:r>
      <w:r w:rsidR="005D62BB" w:rsidRPr="000E700A">
        <w:rPr>
          <w:sz w:val="24"/>
          <w:szCs w:val="24"/>
        </w:rPr>
        <w:t>i</w:t>
      </w:r>
      <w:proofErr w:type="spellEnd"/>
      <w:r w:rsidR="008A71F1" w:rsidRPr="000E700A">
        <w:rPr>
          <w:sz w:val="24"/>
          <w:szCs w:val="24"/>
        </w:rPr>
        <w:t xml:space="preserve"> </w:t>
      </w:r>
      <w:proofErr w:type="spellStart"/>
      <w:r w:rsidR="008A71F1" w:rsidRPr="000E700A">
        <w:rPr>
          <w:sz w:val="24"/>
          <w:szCs w:val="24"/>
        </w:rPr>
        <w:t>planirani</w:t>
      </w:r>
      <w:proofErr w:type="spellEnd"/>
      <w:r w:rsidR="008A71F1" w:rsidRPr="000E700A">
        <w:rPr>
          <w:sz w:val="24"/>
          <w:szCs w:val="24"/>
        </w:rPr>
        <w:t xml:space="preserve"> </w:t>
      </w:r>
      <w:proofErr w:type="spellStart"/>
      <w:r w:rsidR="008A71F1" w:rsidRPr="000E700A">
        <w:rPr>
          <w:sz w:val="24"/>
          <w:szCs w:val="24"/>
        </w:rPr>
        <w:t>su</w:t>
      </w:r>
      <w:proofErr w:type="spellEnd"/>
      <w:r w:rsidR="008A71F1" w:rsidRPr="000E700A">
        <w:rPr>
          <w:sz w:val="24"/>
          <w:szCs w:val="24"/>
        </w:rPr>
        <w:t xml:space="preserve"> u </w:t>
      </w:r>
      <w:proofErr w:type="spellStart"/>
      <w:r w:rsidR="008A71F1" w:rsidRPr="000E700A">
        <w:rPr>
          <w:sz w:val="24"/>
          <w:szCs w:val="24"/>
        </w:rPr>
        <w:t>iznosu</w:t>
      </w:r>
      <w:proofErr w:type="spellEnd"/>
      <w:r w:rsidR="008A71F1" w:rsidRPr="000E700A">
        <w:rPr>
          <w:sz w:val="24"/>
          <w:szCs w:val="24"/>
        </w:rPr>
        <w:t xml:space="preserve"> od 32.326.631,00 EUR</w:t>
      </w:r>
      <w:r w:rsidRPr="000E700A">
        <w:rPr>
          <w:sz w:val="24"/>
          <w:szCs w:val="24"/>
        </w:rPr>
        <w:t xml:space="preserve"> </w:t>
      </w:r>
      <w:r w:rsidR="008A71F1" w:rsidRPr="000E700A">
        <w:rPr>
          <w:sz w:val="24"/>
          <w:szCs w:val="24"/>
          <w:lang w:val="hr-HR"/>
        </w:rPr>
        <w:t>od čega rashodi poslovanja 25.808.758,00 EUR, a rashodi za nabavu nefinancijske imovine 6.517.873,00 EUR.</w:t>
      </w:r>
    </w:p>
    <w:p w14:paraId="78CB88B5" w14:textId="77777777" w:rsidR="00844835" w:rsidRPr="000E700A" w:rsidRDefault="00844835" w:rsidP="008A71F1">
      <w:pPr>
        <w:spacing w:line="360" w:lineRule="auto"/>
        <w:jc w:val="both"/>
        <w:rPr>
          <w:sz w:val="24"/>
          <w:szCs w:val="24"/>
          <w:lang w:val="hr-HR"/>
        </w:rPr>
      </w:pPr>
    </w:p>
    <w:p w14:paraId="66C96576" w14:textId="50DA9EAC" w:rsidR="008A71F1" w:rsidRPr="000E700A" w:rsidRDefault="008A71F1" w:rsidP="008A71F1">
      <w:pPr>
        <w:spacing w:line="360" w:lineRule="auto"/>
        <w:jc w:val="both"/>
        <w:rPr>
          <w:sz w:val="24"/>
          <w:szCs w:val="24"/>
          <w:lang w:val="hr-HR"/>
        </w:rPr>
      </w:pPr>
      <w:r w:rsidRPr="000E700A">
        <w:rPr>
          <w:sz w:val="24"/>
          <w:szCs w:val="24"/>
          <w:lang w:val="hr-HR"/>
        </w:rPr>
        <w:t xml:space="preserve">Izvršenje ukupnih rashoda u 2024. godini iznosi 29.007.559,83 EUR, što čini </w:t>
      </w:r>
      <w:r w:rsidR="007A02D5" w:rsidRPr="000E700A">
        <w:rPr>
          <w:sz w:val="24"/>
          <w:szCs w:val="24"/>
          <w:lang w:val="hr-HR"/>
        </w:rPr>
        <w:t>89,73</w:t>
      </w:r>
      <w:r w:rsidRPr="000E700A">
        <w:rPr>
          <w:sz w:val="24"/>
          <w:szCs w:val="24"/>
          <w:lang w:val="hr-HR"/>
        </w:rPr>
        <w:t>% planiranih rashoda za 202</w:t>
      </w:r>
      <w:r w:rsidR="007A02D5" w:rsidRPr="000E700A">
        <w:rPr>
          <w:sz w:val="24"/>
          <w:szCs w:val="24"/>
          <w:lang w:val="hr-HR"/>
        </w:rPr>
        <w:t>4</w:t>
      </w:r>
      <w:r w:rsidRPr="000E700A">
        <w:rPr>
          <w:sz w:val="24"/>
          <w:szCs w:val="24"/>
          <w:lang w:val="hr-HR"/>
        </w:rPr>
        <w:t xml:space="preserve">. godinu. Rashodi poslovanja izvršeni su u iznosu od </w:t>
      </w:r>
      <w:r w:rsidR="007A02D5" w:rsidRPr="000E700A">
        <w:rPr>
          <w:sz w:val="24"/>
          <w:szCs w:val="24"/>
          <w:lang w:val="hr-HR"/>
        </w:rPr>
        <w:t>24.056.095,28 EUR</w:t>
      </w:r>
      <w:r w:rsidRPr="000E700A">
        <w:rPr>
          <w:sz w:val="24"/>
          <w:szCs w:val="24"/>
          <w:lang w:val="hr-HR"/>
        </w:rPr>
        <w:t xml:space="preserve">, odnosno </w:t>
      </w:r>
      <w:r w:rsidR="007A02D5" w:rsidRPr="000E700A">
        <w:rPr>
          <w:sz w:val="24"/>
          <w:szCs w:val="24"/>
          <w:lang w:val="hr-HR"/>
        </w:rPr>
        <w:t>93,21</w:t>
      </w:r>
      <w:r w:rsidRPr="000E700A">
        <w:rPr>
          <w:sz w:val="24"/>
          <w:szCs w:val="24"/>
          <w:lang w:val="hr-HR"/>
        </w:rPr>
        <w:t xml:space="preserve">% planiranih rashoda poslovanja, dok su rashodi za nabavu nefinancijske imovine izvršeni u iznosu od </w:t>
      </w:r>
      <w:r w:rsidR="007A02D5" w:rsidRPr="000E700A">
        <w:rPr>
          <w:sz w:val="24"/>
          <w:szCs w:val="24"/>
          <w:lang w:val="hr-HR"/>
        </w:rPr>
        <w:t>4.951</w:t>
      </w:r>
      <w:r w:rsidR="00844835" w:rsidRPr="000E700A">
        <w:rPr>
          <w:sz w:val="24"/>
          <w:szCs w:val="24"/>
          <w:lang w:val="hr-HR"/>
        </w:rPr>
        <w:t>.</w:t>
      </w:r>
      <w:r w:rsidR="007A02D5" w:rsidRPr="000E700A">
        <w:rPr>
          <w:sz w:val="24"/>
          <w:szCs w:val="24"/>
          <w:lang w:val="hr-HR"/>
        </w:rPr>
        <w:t>664,55 EUR</w:t>
      </w:r>
      <w:r w:rsidRPr="000E700A">
        <w:rPr>
          <w:sz w:val="24"/>
          <w:szCs w:val="24"/>
          <w:lang w:val="hr-HR"/>
        </w:rPr>
        <w:t xml:space="preserve">, odnosno </w:t>
      </w:r>
      <w:r w:rsidR="007A02D5" w:rsidRPr="000E700A">
        <w:rPr>
          <w:sz w:val="24"/>
          <w:szCs w:val="24"/>
          <w:lang w:val="hr-HR"/>
        </w:rPr>
        <w:t>75,97</w:t>
      </w:r>
      <w:r w:rsidRPr="000E700A">
        <w:rPr>
          <w:sz w:val="24"/>
          <w:szCs w:val="24"/>
          <w:lang w:val="hr-HR"/>
        </w:rPr>
        <w:t>% plana.</w:t>
      </w:r>
    </w:p>
    <w:p w14:paraId="13147B03" w14:textId="77777777" w:rsidR="007A02D5" w:rsidRPr="000E700A" w:rsidRDefault="007A02D5" w:rsidP="00324432">
      <w:pPr>
        <w:spacing w:line="360" w:lineRule="auto"/>
        <w:jc w:val="both"/>
        <w:rPr>
          <w:sz w:val="24"/>
          <w:szCs w:val="24"/>
          <w:lang w:val="hr-HR"/>
        </w:rPr>
      </w:pPr>
    </w:p>
    <w:p w14:paraId="35F8E02E" w14:textId="62EC01F8" w:rsidR="000D08CE" w:rsidRPr="000E700A" w:rsidRDefault="00324432" w:rsidP="00324432">
      <w:pPr>
        <w:spacing w:line="360" w:lineRule="auto"/>
        <w:jc w:val="both"/>
        <w:rPr>
          <w:sz w:val="24"/>
          <w:szCs w:val="24"/>
        </w:rPr>
      </w:pPr>
      <w:proofErr w:type="spellStart"/>
      <w:r w:rsidRPr="000E700A">
        <w:rPr>
          <w:sz w:val="24"/>
          <w:szCs w:val="24"/>
        </w:rPr>
        <w:t>Najznačajnije</w:t>
      </w:r>
      <w:proofErr w:type="spellEnd"/>
      <w:r w:rsidRPr="000E700A">
        <w:rPr>
          <w:sz w:val="24"/>
          <w:szCs w:val="24"/>
        </w:rPr>
        <w:t xml:space="preserve"> </w:t>
      </w:r>
      <w:proofErr w:type="spellStart"/>
      <w:r w:rsidRPr="000E700A">
        <w:rPr>
          <w:sz w:val="24"/>
          <w:szCs w:val="24"/>
        </w:rPr>
        <w:t>stavke</w:t>
      </w:r>
      <w:proofErr w:type="spellEnd"/>
      <w:r w:rsidRPr="000E700A">
        <w:rPr>
          <w:sz w:val="24"/>
          <w:szCs w:val="24"/>
        </w:rPr>
        <w:t xml:space="preserve"> </w:t>
      </w:r>
      <w:proofErr w:type="spellStart"/>
      <w:r w:rsidRPr="000E700A">
        <w:rPr>
          <w:sz w:val="24"/>
          <w:szCs w:val="24"/>
        </w:rPr>
        <w:t>rashoda</w:t>
      </w:r>
      <w:proofErr w:type="spellEnd"/>
      <w:r w:rsidRPr="000E700A">
        <w:rPr>
          <w:sz w:val="24"/>
          <w:szCs w:val="24"/>
        </w:rPr>
        <w:t xml:space="preserve"> </w:t>
      </w:r>
      <w:r w:rsidR="00A649AA" w:rsidRPr="000E700A">
        <w:rPr>
          <w:sz w:val="24"/>
          <w:szCs w:val="24"/>
        </w:rPr>
        <w:t xml:space="preserve">u </w:t>
      </w:r>
      <w:proofErr w:type="spellStart"/>
      <w:r w:rsidR="00A649AA" w:rsidRPr="000E700A">
        <w:rPr>
          <w:sz w:val="24"/>
          <w:szCs w:val="24"/>
        </w:rPr>
        <w:t>smislu</w:t>
      </w:r>
      <w:proofErr w:type="spellEnd"/>
      <w:r w:rsidR="00A649AA" w:rsidRPr="000E700A">
        <w:rPr>
          <w:sz w:val="24"/>
          <w:szCs w:val="24"/>
        </w:rPr>
        <w:t xml:space="preserve"> </w:t>
      </w:r>
      <w:proofErr w:type="spellStart"/>
      <w:r w:rsidR="00A649AA" w:rsidRPr="000E700A">
        <w:rPr>
          <w:sz w:val="24"/>
          <w:szCs w:val="24"/>
        </w:rPr>
        <w:t>izvršenja</w:t>
      </w:r>
      <w:proofErr w:type="spellEnd"/>
      <w:r w:rsidR="00B7608B" w:rsidRPr="000E700A">
        <w:rPr>
          <w:sz w:val="24"/>
          <w:szCs w:val="24"/>
        </w:rPr>
        <w:t xml:space="preserve"> </w:t>
      </w:r>
      <w:proofErr w:type="spellStart"/>
      <w:r w:rsidR="00B7608B" w:rsidRPr="000E700A">
        <w:rPr>
          <w:sz w:val="24"/>
          <w:szCs w:val="24"/>
        </w:rPr>
        <w:t>su</w:t>
      </w:r>
      <w:proofErr w:type="spellEnd"/>
      <w:r w:rsidR="00B7608B" w:rsidRPr="000E700A">
        <w:rPr>
          <w:sz w:val="24"/>
          <w:szCs w:val="24"/>
        </w:rPr>
        <w:t xml:space="preserve"> </w:t>
      </w:r>
      <w:proofErr w:type="spellStart"/>
      <w:r w:rsidR="00B7608B" w:rsidRPr="000E700A">
        <w:rPr>
          <w:sz w:val="24"/>
          <w:szCs w:val="24"/>
        </w:rPr>
        <w:t>sljedeće</w:t>
      </w:r>
      <w:proofErr w:type="spellEnd"/>
      <w:r w:rsidR="00B7608B" w:rsidRPr="000E700A">
        <w:rPr>
          <w:sz w:val="24"/>
          <w:szCs w:val="24"/>
        </w:rPr>
        <w:t>:</w:t>
      </w:r>
    </w:p>
    <w:p w14:paraId="5E959CDF" w14:textId="77777777" w:rsidR="006A69F1" w:rsidRPr="000E700A" w:rsidRDefault="006A69F1" w:rsidP="00324432">
      <w:pPr>
        <w:spacing w:line="360" w:lineRule="auto"/>
        <w:jc w:val="both"/>
        <w:rPr>
          <w:sz w:val="24"/>
          <w:szCs w:val="24"/>
        </w:rPr>
      </w:pPr>
    </w:p>
    <w:p w14:paraId="73684488" w14:textId="77777777" w:rsidR="006A69F1" w:rsidRPr="000E700A" w:rsidRDefault="006A69F1" w:rsidP="006A69F1">
      <w:pPr>
        <w:spacing w:line="360" w:lineRule="auto"/>
        <w:jc w:val="both"/>
        <w:rPr>
          <w:b/>
          <w:sz w:val="24"/>
          <w:szCs w:val="24"/>
          <w:lang w:val="hr-HR"/>
        </w:rPr>
      </w:pPr>
      <w:r w:rsidRPr="000E700A">
        <w:rPr>
          <w:b/>
          <w:sz w:val="24"/>
          <w:szCs w:val="24"/>
          <w:lang w:val="hr-HR"/>
        </w:rPr>
        <w:t>Rashodi za zaposlene</w:t>
      </w:r>
    </w:p>
    <w:p w14:paraId="770D91F7" w14:textId="77777777" w:rsidR="006A69F1" w:rsidRPr="000E700A" w:rsidRDefault="006A69F1" w:rsidP="00324432">
      <w:pPr>
        <w:spacing w:line="360" w:lineRule="auto"/>
        <w:jc w:val="both"/>
        <w:rPr>
          <w:sz w:val="24"/>
          <w:szCs w:val="24"/>
        </w:rPr>
      </w:pPr>
    </w:p>
    <w:p w14:paraId="3089B5ED" w14:textId="19FBA23F" w:rsidR="00A649AA" w:rsidRPr="000E700A" w:rsidRDefault="00BC05F0" w:rsidP="00A649AA">
      <w:pPr>
        <w:spacing w:line="360" w:lineRule="auto"/>
        <w:jc w:val="both"/>
        <w:rPr>
          <w:sz w:val="24"/>
          <w:szCs w:val="24"/>
        </w:rPr>
      </w:pPr>
      <w:proofErr w:type="spellStart"/>
      <w:r w:rsidRPr="000E700A">
        <w:rPr>
          <w:sz w:val="24"/>
          <w:szCs w:val="24"/>
        </w:rPr>
        <w:lastRenderedPageBreak/>
        <w:t>Rashodi</w:t>
      </w:r>
      <w:proofErr w:type="spellEnd"/>
      <w:r w:rsidRPr="000E700A">
        <w:rPr>
          <w:sz w:val="24"/>
          <w:szCs w:val="24"/>
        </w:rPr>
        <w:t xml:space="preserve"> za </w:t>
      </w:r>
      <w:proofErr w:type="spellStart"/>
      <w:r w:rsidRPr="000E700A">
        <w:rPr>
          <w:sz w:val="24"/>
          <w:szCs w:val="24"/>
        </w:rPr>
        <w:t>zaposlene</w:t>
      </w:r>
      <w:proofErr w:type="spellEnd"/>
      <w:r w:rsidRPr="000E700A">
        <w:rPr>
          <w:sz w:val="24"/>
          <w:szCs w:val="24"/>
        </w:rPr>
        <w:t xml:space="preserve"> u 2024</w:t>
      </w:r>
      <w:r w:rsidR="004D5FF0" w:rsidRPr="000E700A">
        <w:rPr>
          <w:sz w:val="24"/>
          <w:szCs w:val="24"/>
        </w:rPr>
        <w:t>.</w:t>
      </w:r>
      <w:r w:rsidRPr="000E700A">
        <w:rPr>
          <w:sz w:val="24"/>
          <w:szCs w:val="24"/>
        </w:rPr>
        <w:t xml:space="preserve"> </w:t>
      </w:r>
      <w:proofErr w:type="spellStart"/>
      <w:r w:rsidRPr="000E700A">
        <w:rPr>
          <w:sz w:val="24"/>
          <w:szCs w:val="24"/>
        </w:rPr>
        <w:t>godini</w:t>
      </w:r>
      <w:proofErr w:type="spellEnd"/>
      <w:r w:rsidR="00A649AA" w:rsidRPr="000E700A">
        <w:rPr>
          <w:sz w:val="24"/>
          <w:szCs w:val="24"/>
        </w:rPr>
        <w:t xml:space="preserve"> </w:t>
      </w:r>
      <w:proofErr w:type="spellStart"/>
      <w:r w:rsidRPr="000E700A">
        <w:rPr>
          <w:sz w:val="24"/>
          <w:szCs w:val="24"/>
        </w:rPr>
        <w:t>izvršeni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u </w:t>
      </w:r>
      <w:proofErr w:type="spellStart"/>
      <w:r w:rsidRPr="000E700A">
        <w:rPr>
          <w:sz w:val="24"/>
          <w:szCs w:val="24"/>
        </w:rPr>
        <w:t>nominalnom</w:t>
      </w:r>
      <w:proofErr w:type="spellEnd"/>
      <w:r w:rsidRPr="000E700A">
        <w:rPr>
          <w:sz w:val="24"/>
          <w:szCs w:val="24"/>
        </w:rPr>
        <w:t xml:space="preserve"> </w:t>
      </w:r>
      <w:proofErr w:type="spellStart"/>
      <w:r w:rsidRPr="000E700A">
        <w:rPr>
          <w:sz w:val="24"/>
          <w:szCs w:val="24"/>
        </w:rPr>
        <w:t>iznosu</w:t>
      </w:r>
      <w:proofErr w:type="spellEnd"/>
      <w:r w:rsidR="00A649AA" w:rsidRPr="000E700A">
        <w:rPr>
          <w:sz w:val="24"/>
          <w:szCs w:val="24"/>
        </w:rPr>
        <w:t xml:space="preserve"> </w:t>
      </w:r>
      <w:r w:rsidR="00244420" w:rsidRPr="000E700A">
        <w:rPr>
          <w:sz w:val="24"/>
          <w:szCs w:val="24"/>
        </w:rPr>
        <w:t>od 9.741.748,01 EUR</w:t>
      </w:r>
      <w:r w:rsidR="004D5FF0" w:rsidRPr="000E700A">
        <w:rPr>
          <w:sz w:val="24"/>
          <w:szCs w:val="24"/>
        </w:rPr>
        <w:t xml:space="preserve"> </w:t>
      </w:r>
      <w:proofErr w:type="spellStart"/>
      <w:r w:rsidR="00A649AA" w:rsidRPr="000E700A">
        <w:rPr>
          <w:sz w:val="24"/>
          <w:szCs w:val="24"/>
        </w:rPr>
        <w:t>što</w:t>
      </w:r>
      <w:proofErr w:type="spellEnd"/>
      <w:r w:rsidR="00A649AA" w:rsidRPr="000E700A">
        <w:rPr>
          <w:sz w:val="24"/>
          <w:szCs w:val="24"/>
        </w:rPr>
        <w:t xml:space="preserve"> je </w:t>
      </w:r>
      <w:proofErr w:type="spellStart"/>
      <w:r w:rsidR="00C844DF" w:rsidRPr="000E700A">
        <w:rPr>
          <w:sz w:val="24"/>
          <w:szCs w:val="24"/>
        </w:rPr>
        <w:t>povećanje</w:t>
      </w:r>
      <w:proofErr w:type="spellEnd"/>
      <w:r w:rsidRPr="000E700A">
        <w:rPr>
          <w:sz w:val="24"/>
          <w:szCs w:val="24"/>
        </w:rPr>
        <w:t xml:space="preserve"> od 29,27%</w:t>
      </w:r>
      <w:r w:rsidR="00C844DF" w:rsidRPr="000E700A">
        <w:rPr>
          <w:sz w:val="24"/>
          <w:szCs w:val="24"/>
        </w:rPr>
        <w:t xml:space="preserve"> u </w:t>
      </w:r>
      <w:proofErr w:type="spellStart"/>
      <w:r w:rsidR="00C844DF" w:rsidRPr="000E700A">
        <w:rPr>
          <w:sz w:val="24"/>
          <w:szCs w:val="24"/>
        </w:rPr>
        <w:t>odnosu</w:t>
      </w:r>
      <w:proofErr w:type="spellEnd"/>
      <w:r w:rsidR="00C844DF" w:rsidRPr="000E700A">
        <w:rPr>
          <w:sz w:val="24"/>
          <w:szCs w:val="24"/>
        </w:rPr>
        <w:t xml:space="preserve"> </w:t>
      </w:r>
      <w:proofErr w:type="spellStart"/>
      <w:r w:rsidR="00C844DF" w:rsidRPr="000E700A">
        <w:rPr>
          <w:sz w:val="24"/>
          <w:szCs w:val="24"/>
        </w:rPr>
        <w:t>na</w:t>
      </w:r>
      <w:proofErr w:type="spellEnd"/>
      <w:r w:rsidR="00A649AA" w:rsidRPr="000E700A">
        <w:rPr>
          <w:sz w:val="24"/>
          <w:szCs w:val="24"/>
        </w:rPr>
        <w:t xml:space="preserve"> </w:t>
      </w:r>
      <w:proofErr w:type="spellStart"/>
      <w:r w:rsidR="00A649AA" w:rsidRPr="000E700A">
        <w:rPr>
          <w:sz w:val="24"/>
          <w:szCs w:val="24"/>
        </w:rPr>
        <w:t>isto</w:t>
      </w:r>
      <w:proofErr w:type="spellEnd"/>
      <w:r w:rsidR="00A649AA" w:rsidRPr="000E700A">
        <w:rPr>
          <w:sz w:val="24"/>
          <w:szCs w:val="24"/>
        </w:rPr>
        <w:t xml:space="preserve"> </w:t>
      </w:r>
      <w:proofErr w:type="spellStart"/>
      <w:r w:rsidR="00A649AA" w:rsidRPr="000E700A">
        <w:rPr>
          <w:sz w:val="24"/>
          <w:szCs w:val="24"/>
        </w:rPr>
        <w:t>razdoblj</w:t>
      </w:r>
      <w:r w:rsidR="00C844DF" w:rsidRPr="000E700A">
        <w:rPr>
          <w:sz w:val="24"/>
          <w:szCs w:val="24"/>
        </w:rPr>
        <w:t>e</w:t>
      </w:r>
      <w:proofErr w:type="spellEnd"/>
      <w:r w:rsidR="00A649AA" w:rsidRPr="000E700A">
        <w:rPr>
          <w:sz w:val="24"/>
          <w:szCs w:val="24"/>
        </w:rPr>
        <w:t xml:space="preserve"> </w:t>
      </w:r>
      <w:proofErr w:type="spellStart"/>
      <w:r w:rsidR="00A649AA" w:rsidRPr="000E700A">
        <w:rPr>
          <w:sz w:val="24"/>
          <w:szCs w:val="24"/>
        </w:rPr>
        <w:t>prethodne</w:t>
      </w:r>
      <w:proofErr w:type="spellEnd"/>
      <w:r w:rsidR="00A649AA" w:rsidRPr="000E700A">
        <w:rPr>
          <w:sz w:val="24"/>
          <w:szCs w:val="24"/>
        </w:rPr>
        <w:t xml:space="preserve"> </w:t>
      </w:r>
      <w:proofErr w:type="spellStart"/>
      <w:r w:rsidR="00A649AA" w:rsidRPr="000E700A">
        <w:rPr>
          <w:sz w:val="24"/>
          <w:szCs w:val="24"/>
        </w:rPr>
        <w:t>godine</w:t>
      </w:r>
      <w:proofErr w:type="spellEnd"/>
      <w:r w:rsidR="00C844DF" w:rsidRPr="000E700A">
        <w:rPr>
          <w:sz w:val="24"/>
          <w:szCs w:val="24"/>
        </w:rPr>
        <w:t xml:space="preserve">, </w:t>
      </w:r>
      <w:r w:rsidRPr="000E700A">
        <w:rPr>
          <w:sz w:val="24"/>
          <w:szCs w:val="24"/>
        </w:rPr>
        <w:t>a</w:t>
      </w:r>
      <w:r w:rsidRPr="000E700A">
        <w:rPr>
          <w:sz w:val="24"/>
          <w:szCs w:val="24"/>
          <w:lang w:val="hr-HR"/>
        </w:rPr>
        <w:t xml:space="preserve"> navedeno povećanje je najvećim dijelom rezultat pune primjene propisa kojima se reguliraju plaće zaposlenika u državnim i javnim službama. </w:t>
      </w:r>
    </w:p>
    <w:p w14:paraId="08D4CB63" w14:textId="77777777" w:rsidR="0036760D" w:rsidRPr="000E700A" w:rsidRDefault="0036760D" w:rsidP="00A649AA">
      <w:pPr>
        <w:spacing w:line="360" w:lineRule="auto"/>
        <w:jc w:val="both"/>
        <w:rPr>
          <w:sz w:val="24"/>
          <w:szCs w:val="24"/>
        </w:rPr>
      </w:pPr>
    </w:p>
    <w:p w14:paraId="2B185B99" w14:textId="658BF78B" w:rsidR="00D5224C" w:rsidRPr="000E700A" w:rsidRDefault="006A69F1" w:rsidP="006A69F1">
      <w:pPr>
        <w:spacing w:line="360" w:lineRule="auto"/>
        <w:jc w:val="both"/>
        <w:rPr>
          <w:b/>
          <w:sz w:val="24"/>
          <w:szCs w:val="24"/>
          <w:lang w:val="hr-HR"/>
        </w:rPr>
      </w:pPr>
      <w:r w:rsidRPr="000E700A">
        <w:rPr>
          <w:b/>
          <w:sz w:val="24"/>
          <w:szCs w:val="24"/>
          <w:lang w:val="hr-HR"/>
        </w:rPr>
        <w:t xml:space="preserve">Materijalni rashodi </w:t>
      </w:r>
    </w:p>
    <w:p w14:paraId="50E548D8" w14:textId="77777777" w:rsidR="004D5FF0" w:rsidRPr="000E700A" w:rsidRDefault="004D5FF0" w:rsidP="006A69F1">
      <w:pPr>
        <w:spacing w:line="360" w:lineRule="auto"/>
        <w:jc w:val="both"/>
        <w:rPr>
          <w:b/>
          <w:i/>
          <w:iCs/>
          <w:sz w:val="24"/>
          <w:szCs w:val="24"/>
          <w:lang w:val="hr-HR"/>
        </w:rPr>
      </w:pPr>
    </w:p>
    <w:p w14:paraId="62451E18" w14:textId="633C1F1D" w:rsidR="00D5224C" w:rsidRPr="000E700A" w:rsidRDefault="00D5224C" w:rsidP="006A69F1">
      <w:pPr>
        <w:spacing w:line="360" w:lineRule="auto"/>
        <w:jc w:val="both"/>
        <w:rPr>
          <w:sz w:val="24"/>
          <w:szCs w:val="24"/>
        </w:rPr>
      </w:pPr>
      <w:r w:rsidRPr="000E700A">
        <w:rPr>
          <w:sz w:val="24"/>
          <w:szCs w:val="24"/>
        </w:rPr>
        <w:t xml:space="preserve">Materijalni rashodi u 2024. </w:t>
      </w:r>
      <w:proofErr w:type="spellStart"/>
      <w:r w:rsidRPr="000E700A">
        <w:rPr>
          <w:sz w:val="24"/>
          <w:szCs w:val="24"/>
        </w:rPr>
        <w:t>godini</w:t>
      </w:r>
      <w:proofErr w:type="spellEnd"/>
      <w:r w:rsidRPr="000E700A">
        <w:rPr>
          <w:sz w:val="24"/>
          <w:szCs w:val="24"/>
        </w:rPr>
        <w:t xml:space="preserve"> </w:t>
      </w:r>
      <w:proofErr w:type="spellStart"/>
      <w:r w:rsidRPr="000E700A">
        <w:rPr>
          <w:sz w:val="24"/>
          <w:szCs w:val="24"/>
        </w:rPr>
        <w:t>izvršeni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12.929.684,03 EUR, </w:t>
      </w:r>
      <w:proofErr w:type="spellStart"/>
      <w:r w:rsidRPr="000E700A">
        <w:rPr>
          <w:sz w:val="24"/>
          <w:szCs w:val="24"/>
        </w:rPr>
        <w:t>što</w:t>
      </w:r>
      <w:proofErr w:type="spellEnd"/>
      <w:r w:rsidRPr="000E700A">
        <w:rPr>
          <w:sz w:val="24"/>
          <w:szCs w:val="24"/>
        </w:rPr>
        <w:t xml:space="preserve"> </w:t>
      </w:r>
      <w:proofErr w:type="spellStart"/>
      <w:r w:rsidRPr="000E700A">
        <w:rPr>
          <w:sz w:val="24"/>
          <w:szCs w:val="24"/>
        </w:rPr>
        <w:t>predstavlja</w:t>
      </w:r>
      <w:proofErr w:type="spellEnd"/>
      <w:r w:rsidRPr="000E700A">
        <w:rPr>
          <w:sz w:val="24"/>
          <w:szCs w:val="24"/>
        </w:rPr>
        <w:t xml:space="preserve"> 92,45% </w:t>
      </w:r>
      <w:proofErr w:type="spellStart"/>
      <w:r w:rsidRPr="000E700A">
        <w:rPr>
          <w:sz w:val="24"/>
          <w:szCs w:val="24"/>
        </w:rPr>
        <w:t>planiranih</w:t>
      </w:r>
      <w:proofErr w:type="spellEnd"/>
      <w:r w:rsidRPr="000E700A">
        <w:rPr>
          <w:sz w:val="24"/>
          <w:szCs w:val="24"/>
        </w:rPr>
        <w:t xml:space="preserve"> </w:t>
      </w:r>
      <w:proofErr w:type="spellStart"/>
      <w:r w:rsidRPr="000E700A">
        <w:rPr>
          <w:sz w:val="24"/>
          <w:szCs w:val="24"/>
        </w:rPr>
        <w:t>sredstava</w:t>
      </w:r>
      <w:proofErr w:type="spellEnd"/>
      <w:r w:rsidRPr="000E700A">
        <w:rPr>
          <w:sz w:val="24"/>
          <w:szCs w:val="24"/>
        </w:rPr>
        <w:t xml:space="preserve">. U </w:t>
      </w:r>
      <w:proofErr w:type="spellStart"/>
      <w:r w:rsidRPr="000E700A">
        <w:rPr>
          <w:sz w:val="24"/>
          <w:szCs w:val="24"/>
        </w:rPr>
        <w:t>odnosu</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2023. </w:t>
      </w:r>
      <w:proofErr w:type="spellStart"/>
      <w:r w:rsidRPr="000E700A">
        <w:rPr>
          <w:sz w:val="24"/>
          <w:szCs w:val="24"/>
        </w:rPr>
        <w:t>godinu</w:t>
      </w:r>
      <w:proofErr w:type="spellEnd"/>
      <w:r w:rsidRPr="000E700A">
        <w:rPr>
          <w:sz w:val="24"/>
          <w:szCs w:val="24"/>
        </w:rPr>
        <w:t xml:space="preserve"> </w:t>
      </w:r>
      <w:proofErr w:type="spellStart"/>
      <w:r w:rsidRPr="000E700A">
        <w:rPr>
          <w:sz w:val="24"/>
          <w:szCs w:val="24"/>
        </w:rPr>
        <w:t>smanjeni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za 7,9 </w:t>
      </w:r>
      <w:proofErr w:type="spellStart"/>
      <w:r w:rsidRPr="000E700A">
        <w:rPr>
          <w:sz w:val="24"/>
          <w:szCs w:val="24"/>
        </w:rPr>
        <w:t>milijuna</w:t>
      </w:r>
      <w:proofErr w:type="spellEnd"/>
      <w:r w:rsidRPr="000E700A">
        <w:rPr>
          <w:sz w:val="24"/>
          <w:szCs w:val="24"/>
        </w:rPr>
        <w:t xml:space="preserve"> </w:t>
      </w:r>
      <w:proofErr w:type="spellStart"/>
      <w:r w:rsidRPr="000E700A">
        <w:rPr>
          <w:sz w:val="24"/>
          <w:szCs w:val="24"/>
        </w:rPr>
        <w:t>eura</w:t>
      </w:r>
      <w:proofErr w:type="spellEnd"/>
      <w:r w:rsidRPr="000E700A">
        <w:rPr>
          <w:sz w:val="24"/>
          <w:szCs w:val="24"/>
        </w:rPr>
        <w:t xml:space="preserve"> </w:t>
      </w:r>
      <w:proofErr w:type="spellStart"/>
      <w:r w:rsidRPr="000E700A">
        <w:rPr>
          <w:sz w:val="24"/>
          <w:szCs w:val="24"/>
        </w:rPr>
        <w:t>odnosno</w:t>
      </w:r>
      <w:proofErr w:type="spellEnd"/>
      <w:r w:rsidRPr="000E700A">
        <w:rPr>
          <w:sz w:val="24"/>
          <w:szCs w:val="24"/>
        </w:rPr>
        <w:t xml:space="preserve"> 38% </w:t>
      </w:r>
      <w:proofErr w:type="spellStart"/>
      <w:r w:rsidRPr="000E700A">
        <w:rPr>
          <w:sz w:val="24"/>
          <w:szCs w:val="24"/>
        </w:rPr>
        <w:t>zbog</w:t>
      </w:r>
      <w:proofErr w:type="spellEnd"/>
      <w:r w:rsidRPr="000E700A">
        <w:rPr>
          <w:sz w:val="24"/>
          <w:szCs w:val="24"/>
        </w:rPr>
        <w:t xml:space="preserve"> </w:t>
      </w:r>
      <w:proofErr w:type="spellStart"/>
      <w:r w:rsidRPr="000E700A">
        <w:rPr>
          <w:sz w:val="24"/>
          <w:szCs w:val="24"/>
        </w:rPr>
        <w:t>završetka</w:t>
      </w:r>
      <w:proofErr w:type="spellEnd"/>
      <w:r w:rsidRPr="000E700A">
        <w:rPr>
          <w:sz w:val="24"/>
          <w:szCs w:val="24"/>
        </w:rPr>
        <w:t xml:space="preserve"> </w:t>
      </w:r>
      <w:proofErr w:type="spellStart"/>
      <w:r w:rsidRPr="000E700A">
        <w:rPr>
          <w:sz w:val="24"/>
          <w:szCs w:val="24"/>
        </w:rPr>
        <w:t>projekta</w:t>
      </w:r>
      <w:proofErr w:type="spellEnd"/>
      <w:r w:rsidRPr="000E700A">
        <w:rPr>
          <w:sz w:val="24"/>
          <w:szCs w:val="24"/>
        </w:rPr>
        <w:t xml:space="preserve"> „e-</w:t>
      </w:r>
      <w:proofErr w:type="spellStart"/>
      <w:r w:rsidRPr="000E700A">
        <w:rPr>
          <w:sz w:val="24"/>
          <w:szCs w:val="24"/>
        </w:rPr>
        <w:t>Škole</w:t>
      </w:r>
      <w:proofErr w:type="spellEnd"/>
      <w:r w:rsidRPr="000E700A">
        <w:rPr>
          <w:sz w:val="24"/>
          <w:szCs w:val="24"/>
        </w:rPr>
        <w:t xml:space="preserve">: </w:t>
      </w:r>
      <w:proofErr w:type="spellStart"/>
      <w:r w:rsidRPr="000E700A">
        <w:rPr>
          <w:sz w:val="24"/>
          <w:szCs w:val="24"/>
        </w:rPr>
        <w:t>Razvoj</w:t>
      </w:r>
      <w:proofErr w:type="spellEnd"/>
      <w:r w:rsidRPr="000E700A">
        <w:rPr>
          <w:sz w:val="24"/>
          <w:szCs w:val="24"/>
        </w:rPr>
        <w:t xml:space="preserve"> </w:t>
      </w:r>
      <w:proofErr w:type="spellStart"/>
      <w:r w:rsidRPr="000E700A">
        <w:rPr>
          <w:sz w:val="24"/>
          <w:szCs w:val="24"/>
        </w:rPr>
        <w:t>sustava</w:t>
      </w:r>
      <w:proofErr w:type="spellEnd"/>
      <w:r w:rsidRPr="000E700A">
        <w:rPr>
          <w:sz w:val="24"/>
          <w:szCs w:val="24"/>
        </w:rPr>
        <w:t xml:space="preserve"> </w:t>
      </w:r>
      <w:proofErr w:type="spellStart"/>
      <w:r w:rsidRPr="000E700A">
        <w:rPr>
          <w:sz w:val="24"/>
          <w:szCs w:val="24"/>
        </w:rPr>
        <w:t>digitalno</w:t>
      </w:r>
      <w:proofErr w:type="spellEnd"/>
      <w:r w:rsidRPr="000E700A">
        <w:rPr>
          <w:sz w:val="24"/>
          <w:szCs w:val="24"/>
        </w:rPr>
        <w:t xml:space="preserve"> </w:t>
      </w:r>
      <w:proofErr w:type="spellStart"/>
      <w:r w:rsidRPr="000E700A">
        <w:rPr>
          <w:sz w:val="24"/>
          <w:szCs w:val="24"/>
        </w:rPr>
        <w:t>zrelih</w:t>
      </w:r>
      <w:proofErr w:type="spellEnd"/>
      <w:r w:rsidRPr="000E700A">
        <w:rPr>
          <w:sz w:val="24"/>
          <w:szCs w:val="24"/>
        </w:rPr>
        <w:t xml:space="preserve"> </w:t>
      </w:r>
      <w:proofErr w:type="spellStart"/>
      <w:r w:rsidRPr="000E700A">
        <w:rPr>
          <w:sz w:val="24"/>
          <w:szCs w:val="24"/>
        </w:rPr>
        <w:t>škola</w:t>
      </w:r>
      <w:proofErr w:type="spellEnd"/>
      <w:r w:rsidRPr="000E700A">
        <w:rPr>
          <w:sz w:val="24"/>
          <w:szCs w:val="24"/>
        </w:rPr>
        <w:t xml:space="preserve"> (II. </w:t>
      </w:r>
      <w:proofErr w:type="spellStart"/>
      <w:r w:rsidRPr="000E700A">
        <w:rPr>
          <w:sz w:val="24"/>
          <w:szCs w:val="24"/>
        </w:rPr>
        <w:t>faza</w:t>
      </w:r>
      <w:proofErr w:type="spellEnd"/>
      <w:r w:rsidRPr="000E700A">
        <w:rPr>
          <w:sz w:val="24"/>
          <w:szCs w:val="24"/>
        </w:rPr>
        <w:t>)”.</w:t>
      </w:r>
      <w:r w:rsidR="004D5FF0" w:rsidRPr="000E700A">
        <w:rPr>
          <w:sz w:val="24"/>
          <w:szCs w:val="24"/>
        </w:rPr>
        <w:t xml:space="preserve"> U </w:t>
      </w:r>
      <w:proofErr w:type="spellStart"/>
      <w:r w:rsidR="004D5FF0" w:rsidRPr="000E700A">
        <w:rPr>
          <w:sz w:val="24"/>
          <w:szCs w:val="24"/>
        </w:rPr>
        <w:t>nastavku</w:t>
      </w:r>
      <w:proofErr w:type="spellEnd"/>
      <w:r w:rsidR="004D5FF0" w:rsidRPr="000E700A">
        <w:rPr>
          <w:sz w:val="24"/>
          <w:szCs w:val="24"/>
        </w:rPr>
        <w:t xml:space="preserve"> je dan </w:t>
      </w:r>
      <w:proofErr w:type="spellStart"/>
      <w:r w:rsidR="004D5FF0" w:rsidRPr="000E700A">
        <w:rPr>
          <w:sz w:val="24"/>
          <w:szCs w:val="24"/>
        </w:rPr>
        <w:t>pregled</w:t>
      </w:r>
      <w:proofErr w:type="spellEnd"/>
      <w:r w:rsidR="004D5FF0" w:rsidRPr="000E700A">
        <w:rPr>
          <w:sz w:val="24"/>
          <w:szCs w:val="24"/>
        </w:rPr>
        <w:t xml:space="preserve"> </w:t>
      </w:r>
      <w:proofErr w:type="spellStart"/>
      <w:r w:rsidR="004D5FF0" w:rsidRPr="000E700A">
        <w:rPr>
          <w:sz w:val="24"/>
          <w:szCs w:val="24"/>
        </w:rPr>
        <w:t>izvršenja</w:t>
      </w:r>
      <w:proofErr w:type="spellEnd"/>
      <w:r w:rsidR="004D5FF0" w:rsidRPr="000E700A">
        <w:rPr>
          <w:sz w:val="24"/>
          <w:szCs w:val="24"/>
        </w:rPr>
        <w:t xml:space="preserve"> </w:t>
      </w:r>
      <w:proofErr w:type="spellStart"/>
      <w:r w:rsidR="004D5FF0" w:rsidRPr="000E700A">
        <w:rPr>
          <w:sz w:val="24"/>
          <w:szCs w:val="24"/>
        </w:rPr>
        <w:t>materijalnih</w:t>
      </w:r>
      <w:proofErr w:type="spellEnd"/>
      <w:r w:rsidR="004D5FF0" w:rsidRPr="000E700A">
        <w:rPr>
          <w:sz w:val="24"/>
          <w:szCs w:val="24"/>
        </w:rPr>
        <w:t xml:space="preserve"> </w:t>
      </w:r>
      <w:proofErr w:type="spellStart"/>
      <w:r w:rsidR="004D5FF0" w:rsidRPr="000E700A">
        <w:rPr>
          <w:sz w:val="24"/>
          <w:szCs w:val="24"/>
        </w:rPr>
        <w:t>rashoda</w:t>
      </w:r>
      <w:proofErr w:type="spellEnd"/>
      <w:r w:rsidR="004D5FF0" w:rsidRPr="000E700A">
        <w:rPr>
          <w:sz w:val="24"/>
          <w:szCs w:val="24"/>
        </w:rPr>
        <w:t xml:space="preserve"> po </w:t>
      </w:r>
      <w:proofErr w:type="spellStart"/>
      <w:r w:rsidR="004D5FF0" w:rsidRPr="000E700A">
        <w:rPr>
          <w:sz w:val="24"/>
          <w:szCs w:val="24"/>
        </w:rPr>
        <w:t>podskupinama</w:t>
      </w:r>
      <w:proofErr w:type="spellEnd"/>
      <w:r w:rsidR="004D5FF0" w:rsidRPr="000E700A">
        <w:rPr>
          <w:sz w:val="24"/>
          <w:szCs w:val="24"/>
        </w:rPr>
        <w:t xml:space="preserve"> </w:t>
      </w:r>
      <w:proofErr w:type="spellStart"/>
      <w:r w:rsidR="004D5FF0" w:rsidRPr="000E700A">
        <w:rPr>
          <w:sz w:val="24"/>
          <w:szCs w:val="24"/>
        </w:rPr>
        <w:t>i</w:t>
      </w:r>
      <w:proofErr w:type="spellEnd"/>
      <w:r w:rsidR="004D5FF0" w:rsidRPr="000E700A">
        <w:rPr>
          <w:sz w:val="24"/>
          <w:szCs w:val="24"/>
        </w:rPr>
        <w:t xml:space="preserve"> </w:t>
      </w:r>
      <w:proofErr w:type="spellStart"/>
      <w:r w:rsidR="004D5FF0" w:rsidRPr="000E700A">
        <w:rPr>
          <w:sz w:val="24"/>
          <w:szCs w:val="24"/>
        </w:rPr>
        <w:t>udio</w:t>
      </w:r>
      <w:proofErr w:type="spellEnd"/>
      <w:r w:rsidR="004D5FF0" w:rsidRPr="000E700A">
        <w:rPr>
          <w:sz w:val="24"/>
          <w:szCs w:val="24"/>
        </w:rPr>
        <w:t xml:space="preserve"> u </w:t>
      </w:r>
      <w:proofErr w:type="spellStart"/>
      <w:r w:rsidR="004D5FF0" w:rsidRPr="000E700A">
        <w:rPr>
          <w:sz w:val="24"/>
          <w:szCs w:val="24"/>
        </w:rPr>
        <w:t>ukupnim</w:t>
      </w:r>
      <w:proofErr w:type="spellEnd"/>
      <w:r w:rsidR="004D5FF0" w:rsidRPr="000E700A">
        <w:rPr>
          <w:sz w:val="24"/>
          <w:szCs w:val="24"/>
        </w:rPr>
        <w:t xml:space="preserve"> </w:t>
      </w:r>
      <w:proofErr w:type="spellStart"/>
      <w:r w:rsidR="004D5FF0" w:rsidRPr="000E700A">
        <w:rPr>
          <w:sz w:val="24"/>
          <w:szCs w:val="24"/>
        </w:rPr>
        <w:t>materija</w:t>
      </w:r>
      <w:r w:rsidR="004D0F3E" w:rsidRPr="000E700A">
        <w:rPr>
          <w:sz w:val="24"/>
          <w:szCs w:val="24"/>
        </w:rPr>
        <w:t>l</w:t>
      </w:r>
      <w:r w:rsidR="004D5FF0" w:rsidRPr="000E700A">
        <w:rPr>
          <w:sz w:val="24"/>
          <w:szCs w:val="24"/>
        </w:rPr>
        <w:t>nim</w:t>
      </w:r>
      <w:proofErr w:type="spellEnd"/>
      <w:r w:rsidR="004D5FF0" w:rsidRPr="000E700A">
        <w:rPr>
          <w:sz w:val="24"/>
          <w:szCs w:val="24"/>
        </w:rPr>
        <w:t xml:space="preserve"> </w:t>
      </w:r>
      <w:proofErr w:type="spellStart"/>
      <w:r w:rsidR="004D5FF0" w:rsidRPr="000E700A">
        <w:rPr>
          <w:sz w:val="24"/>
          <w:szCs w:val="24"/>
        </w:rPr>
        <w:t>rashodima</w:t>
      </w:r>
      <w:proofErr w:type="spellEnd"/>
      <w:r w:rsidR="004D0F3E" w:rsidRPr="000E700A">
        <w:rPr>
          <w:sz w:val="24"/>
          <w:szCs w:val="24"/>
        </w:rPr>
        <w:t xml:space="preserve">, </w:t>
      </w:r>
      <w:proofErr w:type="spellStart"/>
      <w:r w:rsidR="004D0F3E" w:rsidRPr="000E700A">
        <w:rPr>
          <w:sz w:val="24"/>
          <w:szCs w:val="24"/>
        </w:rPr>
        <w:t>gdje</w:t>
      </w:r>
      <w:proofErr w:type="spellEnd"/>
      <w:r w:rsidR="004D0F3E" w:rsidRPr="000E700A">
        <w:rPr>
          <w:sz w:val="24"/>
          <w:szCs w:val="24"/>
        </w:rPr>
        <w:t xml:space="preserve"> se </w:t>
      </w:r>
      <w:proofErr w:type="spellStart"/>
      <w:r w:rsidR="004D0F3E" w:rsidRPr="000E700A">
        <w:rPr>
          <w:sz w:val="24"/>
          <w:szCs w:val="24"/>
        </w:rPr>
        <w:t>vidljivo</w:t>
      </w:r>
      <w:proofErr w:type="spellEnd"/>
      <w:r w:rsidR="004D0F3E" w:rsidRPr="000E700A">
        <w:rPr>
          <w:sz w:val="24"/>
          <w:szCs w:val="24"/>
        </w:rPr>
        <w:t xml:space="preserve"> da se </w:t>
      </w:r>
      <w:proofErr w:type="spellStart"/>
      <w:r w:rsidR="004D0F3E" w:rsidRPr="000E700A">
        <w:rPr>
          <w:sz w:val="24"/>
          <w:szCs w:val="24"/>
        </w:rPr>
        <w:t>najveći</w:t>
      </w:r>
      <w:proofErr w:type="spellEnd"/>
      <w:r w:rsidR="004D0F3E" w:rsidRPr="000E700A">
        <w:rPr>
          <w:sz w:val="24"/>
          <w:szCs w:val="24"/>
        </w:rPr>
        <w:t xml:space="preserve"> </w:t>
      </w:r>
      <w:proofErr w:type="spellStart"/>
      <w:r w:rsidR="004D0F3E" w:rsidRPr="000E700A">
        <w:rPr>
          <w:sz w:val="24"/>
          <w:szCs w:val="24"/>
        </w:rPr>
        <w:t>dio</w:t>
      </w:r>
      <w:proofErr w:type="spellEnd"/>
      <w:r w:rsidR="004D0F3E" w:rsidRPr="000E700A">
        <w:rPr>
          <w:sz w:val="24"/>
          <w:szCs w:val="24"/>
        </w:rPr>
        <w:t xml:space="preserve"> </w:t>
      </w:r>
      <w:proofErr w:type="spellStart"/>
      <w:r w:rsidR="004D0F3E" w:rsidRPr="000E700A">
        <w:rPr>
          <w:sz w:val="24"/>
          <w:szCs w:val="24"/>
        </w:rPr>
        <w:t>odnosi</w:t>
      </w:r>
      <w:proofErr w:type="spellEnd"/>
      <w:r w:rsidR="004D0F3E" w:rsidRPr="000E700A">
        <w:rPr>
          <w:sz w:val="24"/>
          <w:szCs w:val="24"/>
        </w:rPr>
        <w:t xml:space="preserve"> </w:t>
      </w:r>
      <w:proofErr w:type="spellStart"/>
      <w:r w:rsidR="004D0F3E" w:rsidRPr="000E700A">
        <w:rPr>
          <w:sz w:val="24"/>
          <w:szCs w:val="24"/>
        </w:rPr>
        <w:t>na</w:t>
      </w:r>
      <w:proofErr w:type="spellEnd"/>
      <w:r w:rsidR="004D0F3E" w:rsidRPr="000E700A">
        <w:rPr>
          <w:sz w:val="24"/>
          <w:szCs w:val="24"/>
        </w:rPr>
        <w:t xml:space="preserve"> </w:t>
      </w:r>
      <w:proofErr w:type="spellStart"/>
      <w:r w:rsidR="004D0F3E" w:rsidRPr="000E700A">
        <w:rPr>
          <w:sz w:val="24"/>
          <w:szCs w:val="24"/>
        </w:rPr>
        <w:t>Rashode</w:t>
      </w:r>
      <w:proofErr w:type="spellEnd"/>
      <w:r w:rsidR="004D0F3E" w:rsidRPr="000E700A">
        <w:rPr>
          <w:sz w:val="24"/>
          <w:szCs w:val="24"/>
        </w:rPr>
        <w:t xml:space="preserve"> za </w:t>
      </w:r>
      <w:proofErr w:type="spellStart"/>
      <w:r w:rsidR="004D0F3E" w:rsidRPr="000E700A">
        <w:rPr>
          <w:sz w:val="24"/>
          <w:szCs w:val="24"/>
        </w:rPr>
        <w:t>usluge</w:t>
      </w:r>
      <w:proofErr w:type="spellEnd"/>
      <w:r w:rsidR="004D0F3E" w:rsidRPr="000E700A">
        <w:rPr>
          <w:sz w:val="24"/>
          <w:szCs w:val="24"/>
        </w:rPr>
        <w:t xml:space="preserve"> 84,76%</w:t>
      </w:r>
      <w:r w:rsidR="00BD10B1" w:rsidRPr="000E700A">
        <w:rPr>
          <w:sz w:val="24"/>
          <w:szCs w:val="24"/>
        </w:rPr>
        <w:t>.</w:t>
      </w:r>
    </w:p>
    <w:p w14:paraId="6F758C29" w14:textId="77777777" w:rsidR="00844835" w:rsidRPr="000E700A" w:rsidRDefault="00844835" w:rsidP="006A69F1">
      <w:pPr>
        <w:spacing w:line="360" w:lineRule="auto"/>
        <w:jc w:val="both"/>
        <w:rPr>
          <w:sz w:val="24"/>
          <w:szCs w:val="24"/>
        </w:rPr>
      </w:pPr>
    </w:p>
    <w:tbl>
      <w:tblPr>
        <w:tblW w:w="8920" w:type="dxa"/>
        <w:tblInd w:w="-20" w:type="dxa"/>
        <w:tblLook w:val="04A0" w:firstRow="1" w:lastRow="0" w:firstColumn="1" w:lastColumn="0" w:noHBand="0" w:noVBand="1"/>
      </w:tblPr>
      <w:tblGrid>
        <w:gridCol w:w="2256"/>
        <w:gridCol w:w="2484"/>
        <w:gridCol w:w="2420"/>
        <w:gridCol w:w="1760"/>
      </w:tblGrid>
      <w:tr w:rsidR="00D5224C" w:rsidRPr="000E700A" w14:paraId="7EDA2DA1" w14:textId="77777777" w:rsidTr="00D5224C">
        <w:trPr>
          <w:trHeight w:val="855"/>
        </w:trPr>
        <w:tc>
          <w:tcPr>
            <w:tcW w:w="474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8FE6EF6" w14:textId="77777777" w:rsidR="00D5224C" w:rsidRPr="000E700A" w:rsidRDefault="00D5224C" w:rsidP="00D5224C">
            <w:pPr>
              <w:jc w:val="center"/>
              <w:rPr>
                <w:b/>
                <w:bCs/>
                <w:sz w:val="24"/>
                <w:szCs w:val="24"/>
                <w:lang w:val="hr-HR" w:eastAsia="hr-HR"/>
                <w14:ligatures w14:val="standardContextual"/>
              </w:rPr>
            </w:pPr>
            <w:r w:rsidRPr="000E700A">
              <w:rPr>
                <w:b/>
                <w:bCs/>
                <w:sz w:val="24"/>
                <w:szCs w:val="24"/>
                <w:lang w:val="hr-HR" w:eastAsia="hr-HR"/>
                <w14:ligatures w14:val="standardContextual"/>
              </w:rPr>
              <w:t>BROJČANA OZNAKA I NAZIV</w:t>
            </w:r>
          </w:p>
        </w:tc>
        <w:tc>
          <w:tcPr>
            <w:tcW w:w="2420" w:type="dxa"/>
            <w:tcBorders>
              <w:top w:val="single" w:sz="4" w:space="0" w:color="auto"/>
              <w:left w:val="nil"/>
              <w:bottom w:val="single" w:sz="4" w:space="0" w:color="auto"/>
              <w:right w:val="single" w:sz="4" w:space="0" w:color="auto"/>
            </w:tcBorders>
            <w:shd w:val="clear" w:color="000000" w:fill="D9D9D9"/>
            <w:vAlign w:val="center"/>
            <w:hideMark/>
          </w:tcPr>
          <w:p w14:paraId="03F3B348" w14:textId="77777777" w:rsidR="00D5224C" w:rsidRPr="000E700A" w:rsidRDefault="00D5224C" w:rsidP="00D5224C">
            <w:pPr>
              <w:jc w:val="center"/>
              <w:rPr>
                <w:b/>
                <w:bCs/>
                <w:sz w:val="24"/>
                <w:szCs w:val="24"/>
                <w:lang w:val="hr-HR" w:eastAsia="hr-HR"/>
                <w14:ligatures w14:val="standardContextual"/>
              </w:rPr>
            </w:pPr>
            <w:r w:rsidRPr="000E700A">
              <w:rPr>
                <w:b/>
                <w:bCs/>
                <w:sz w:val="24"/>
                <w:szCs w:val="24"/>
                <w:lang w:val="hr-HR" w:eastAsia="hr-HR"/>
                <w14:ligatures w14:val="standardContextual"/>
              </w:rPr>
              <w:t xml:space="preserve">OSTVARENJE /IZVRŠENJE </w:t>
            </w:r>
            <w:r w:rsidRPr="000E700A">
              <w:rPr>
                <w:b/>
                <w:bCs/>
                <w:sz w:val="24"/>
                <w:szCs w:val="24"/>
                <w:lang w:val="hr-HR" w:eastAsia="hr-HR"/>
                <w14:ligatures w14:val="standardContextual"/>
              </w:rPr>
              <w:br/>
              <w:t>01.2024. - 12.2024.</w:t>
            </w:r>
          </w:p>
        </w:tc>
        <w:tc>
          <w:tcPr>
            <w:tcW w:w="1760" w:type="dxa"/>
            <w:tcBorders>
              <w:top w:val="single" w:sz="4" w:space="0" w:color="auto"/>
              <w:left w:val="nil"/>
              <w:bottom w:val="single" w:sz="4" w:space="0" w:color="auto"/>
              <w:right w:val="single" w:sz="4" w:space="0" w:color="auto"/>
            </w:tcBorders>
            <w:shd w:val="clear" w:color="000000" w:fill="D9D9D9"/>
            <w:vAlign w:val="center"/>
            <w:hideMark/>
          </w:tcPr>
          <w:p w14:paraId="37317174" w14:textId="77777777" w:rsidR="00D5224C" w:rsidRPr="000E700A" w:rsidRDefault="00D5224C" w:rsidP="00D5224C">
            <w:pPr>
              <w:jc w:val="center"/>
              <w:rPr>
                <w:b/>
                <w:bCs/>
                <w:sz w:val="24"/>
                <w:szCs w:val="24"/>
                <w:lang w:val="hr-HR" w:eastAsia="hr-HR"/>
                <w14:ligatures w14:val="standardContextual"/>
              </w:rPr>
            </w:pPr>
            <w:r w:rsidRPr="000E700A">
              <w:rPr>
                <w:b/>
                <w:bCs/>
                <w:sz w:val="24"/>
                <w:szCs w:val="24"/>
                <w:lang w:val="hr-HR" w:eastAsia="hr-HR"/>
                <w14:ligatures w14:val="standardContextual"/>
              </w:rPr>
              <w:t xml:space="preserve">Udio  </w:t>
            </w:r>
          </w:p>
        </w:tc>
      </w:tr>
      <w:tr w:rsidR="00D5224C" w:rsidRPr="000E700A" w14:paraId="3A22C4BA" w14:textId="77777777" w:rsidTr="00D5224C">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3156610" w14:textId="77777777" w:rsidR="00D5224C" w:rsidRPr="000E700A" w:rsidRDefault="00D5224C" w:rsidP="00D5224C">
            <w:pPr>
              <w:ind w:firstLineChars="600" w:firstLine="1440"/>
              <w:rPr>
                <w:sz w:val="24"/>
                <w:szCs w:val="24"/>
                <w:lang w:val="hr-HR" w:eastAsia="hr-HR"/>
                <w14:ligatures w14:val="standardContextual"/>
              </w:rPr>
            </w:pPr>
            <w:r w:rsidRPr="000E700A">
              <w:rPr>
                <w:sz w:val="24"/>
                <w:szCs w:val="24"/>
                <w:lang w:val="hr-HR" w:eastAsia="hr-HR"/>
                <w14:ligatures w14:val="standardContextual"/>
              </w:rPr>
              <w:t>32</w:t>
            </w:r>
          </w:p>
        </w:tc>
        <w:tc>
          <w:tcPr>
            <w:tcW w:w="2720" w:type="dxa"/>
            <w:tcBorders>
              <w:top w:val="nil"/>
              <w:left w:val="nil"/>
              <w:bottom w:val="single" w:sz="4" w:space="0" w:color="auto"/>
              <w:right w:val="single" w:sz="4" w:space="0" w:color="auto"/>
            </w:tcBorders>
            <w:shd w:val="clear" w:color="auto" w:fill="auto"/>
            <w:vAlign w:val="center"/>
            <w:hideMark/>
          </w:tcPr>
          <w:p w14:paraId="36F92EEF" w14:textId="77777777" w:rsidR="00D5224C" w:rsidRPr="000E700A" w:rsidRDefault="00D5224C" w:rsidP="00D5224C">
            <w:pPr>
              <w:rPr>
                <w:sz w:val="24"/>
                <w:szCs w:val="24"/>
                <w:lang w:val="hr-HR" w:eastAsia="hr-HR"/>
                <w14:ligatures w14:val="standardContextual"/>
              </w:rPr>
            </w:pPr>
            <w:r w:rsidRPr="000E700A">
              <w:rPr>
                <w:sz w:val="24"/>
                <w:szCs w:val="24"/>
                <w:lang w:val="hr-HR" w:eastAsia="hr-HR"/>
                <w14:ligatures w14:val="standardContextual"/>
              </w:rPr>
              <w:t>Materijalni rashodi</w:t>
            </w:r>
          </w:p>
        </w:tc>
        <w:tc>
          <w:tcPr>
            <w:tcW w:w="2420" w:type="dxa"/>
            <w:tcBorders>
              <w:top w:val="nil"/>
              <w:left w:val="nil"/>
              <w:bottom w:val="single" w:sz="4" w:space="0" w:color="auto"/>
              <w:right w:val="single" w:sz="4" w:space="0" w:color="auto"/>
            </w:tcBorders>
            <w:shd w:val="clear" w:color="auto" w:fill="auto"/>
            <w:noWrap/>
            <w:vAlign w:val="center"/>
            <w:hideMark/>
          </w:tcPr>
          <w:p w14:paraId="108A465E"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12.929.684,03</w:t>
            </w:r>
          </w:p>
        </w:tc>
        <w:tc>
          <w:tcPr>
            <w:tcW w:w="1760" w:type="dxa"/>
            <w:tcBorders>
              <w:top w:val="nil"/>
              <w:left w:val="nil"/>
              <w:bottom w:val="single" w:sz="4" w:space="0" w:color="auto"/>
              <w:right w:val="single" w:sz="4" w:space="0" w:color="auto"/>
            </w:tcBorders>
            <w:shd w:val="clear" w:color="auto" w:fill="auto"/>
            <w:noWrap/>
            <w:vAlign w:val="center"/>
            <w:hideMark/>
          </w:tcPr>
          <w:p w14:paraId="23BA38D3"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 </w:t>
            </w:r>
          </w:p>
        </w:tc>
      </w:tr>
      <w:tr w:rsidR="00D5224C" w:rsidRPr="000E700A" w14:paraId="0DA07958" w14:textId="77777777" w:rsidTr="00D5224C">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2E1F7BF" w14:textId="77777777" w:rsidR="00D5224C" w:rsidRPr="000E700A" w:rsidRDefault="00D5224C" w:rsidP="00D5224C">
            <w:pPr>
              <w:ind w:firstLineChars="700" w:firstLine="1680"/>
              <w:rPr>
                <w:sz w:val="24"/>
                <w:szCs w:val="24"/>
                <w:lang w:val="hr-HR" w:eastAsia="hr-HR"/>
                <w14:ligatures w14:val="standardContextual"/>
              </w:rPr>
            </w:pPr>
            <w:r w:rsidRPr="000E700A">
              <w:rPr>
                <w:sz w:val="24"/>
                <w:szCs w:val="24"/>
                <w:lang w:val="hr-HR" w:eastAsia="hr-HR"/>
                <w14:ligatures w14:val="standardContextual"/>
              </w:rPr>
              <w:t>321</w:t>
            </w:r>
          </w:p>
        </w:tc>
        <w:tc>
          <w:tcPr>
            <w:tcW w:w="2720" w:type="dxa"/>
            <w:tcBorders>
              <w:top w:val="nil"/>
              <w:left w:val="nil"/>
              <w:bottom w:val="single" w:sz="4" w:space="0" w:color="auto"/>
              <w:right w:val="single" w:sz="4" w:space="0" w:color="auto"/>
            </w:tcBorders>
            <w:shd w:val="clear" w:color="auto" w:fill="auto"/>
            <w:vAlign w:val="center"/>
            <w:hideMark/>
          </w:tcPr>
          <w:p w14:paraId="11EA54F9" w14:textId="77777777" w:rsidR="00D5224C" w:rsidRPr="000E700A" w:rsidRDefault="00D5224C" w:rsidP="00D5224C">
            <w:pPr>
              <w:rPr>
                <w:sz w:val="24"/>
                <w:szCs w:val="24"/>
                <w:lang w:val="hr-HR" w:eastAsia="hr-HR"/>
                <w14:ligatures w14:val="standardContextual"/>
              </w:rPr>
            </w:pPr>
            <w:r w:rsidRPr="000E700A">
              <w:rPr>
                <w:sz w:val="24"/>
                <w:szCs w:val="24"/>
                <w:lang w:val="hr-HR" w:eastAsia="hr-HR"/>
                <w14:ligatures w14:val="standardContextual"/>
              </w:rPr>
              <w:t>Naknade troškova zaposlenima</w:t>
            </w:r>
          </w:p>
        </w:tc>
        <w:tc>
          <w:tcPr>
            <w:tcW w:w="2420" w:type="dxa"/>
            <w:tcBorders>
              <w:top w:val="nil"/>
              <w:left w:val="nil"/>
              <w:bottom w:val="single" w:sz="4" w:space="0" w:color="auto"/>
              <w:right w:val="single" w:sz="4" w:space="0" w:color="auto"/>
            </w:tcBorders>
            <w:shd w:val="clear" w:color="auto" w:fill="auto"/>
            <w:noWrap/>
            <w:vAlign w:val="center"/>
            <w:hideMark/>
          </w:tcPr>
          <w:p w14:paraId="65CA8E3A"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846.256,68</w:t>
            </w:r>
          </w:p>
        </w:tc>
        <w:tc>
          <w:tcPr>
            <w:tcW w:w="1760" w:type="dxa"/>
            <w:tcBorders>
              <w:top w:val="nil"/>
              <w:left w:val="nil"/>
              <w:bottom w:val="single" w:sz="4" w:space="0" w:color="auto"/>
              <w:right w:val="single" w:sz="4" w:space="0" w:color="auto"/>
            </w:tcBorders>
            <w:shd w:val="clear" w:color="auto" w:fill="auto"/>
            <w:noWrap/>
            <w:vAlign w:val="center"/>
            <w:hideMark/>
          </w:tcPr>
          <w:p w14:paraId="26BF22A2"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6,55%</w:t>
            </w:r>
          </w:p>
        </w:tc>
      </w:tr>
      <w:tr w:rsidR="00D5224C" w:rsidRPr="000E700A" w14:paraId="1324D28E" w14:textId="77777777" w:rsidTr="00D5224C">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05BEC4D" w14:textId="77777777" w:rsidR="00D5224C" w:rsidRPr="000E700A" w:rsidRDefault="00D5224C" w:rsidP="00D5224C">
            <w:pPr>
              <w:ind w:firstLineChars="700" w:firstLine="1680"/>
              <w:rPr>
                <w:sz w:val="24"/>
                <w:szCs w:val="24"/>
                <w:lang w:val="hr-HR" w:eastAsia="hr-HR"/>
                <w14:ligatures w14:val="standardContextual"/>
              </w:rPr>
            </w:pPr>
            <w:r w:rsidRPr="000E700A">
              <w:rPr>
                <w:sz w:val="24"/>
                <w:szCs w:val="24"/>
                <w:lang w:val="hr-HR" w:eastAsia="hr-HR"/>
                <w14:ligatures w14:val="standardContextual"/>
              </w:rPr>
              <w:t>322</w:t>
            </w:r>
          </w:p>
        </w:tc>
        <w:tc>
          <w:tcPr>
            <w:tcW w:w="2720" w:type="dxa"/>
            <w:tcBorders>
              <w:top w:val="nil"/>
              <w:left w:val="nil"/>
              <w:bottom w:val="single" w:sz="4" w:space="0" w:color="auto"/>
              <w:right w:val="single" w:sz="4" w:space="0" w:color="auto"/>
            </w:tcBorders>
            <w:shd w:val="clear" w:color="auto" w:fill="auto"/>
            <w:vAlign w:val="center"/>
            <w:hideMark/>
          </w:tcPr>
          <w:p w14:paraId="41851CD1" w14:textId="77777777" w:rsidR="00D5224C" w:rsidRPr="000E700A" w:rsidRDefault="00D5224C" w:rsidP="00D5224C">
            <w:pPr>
              <w:rPr>
                <w:sz w:val="24"/>
                <w:szCs w:val="24"/>
                <w:lang w:val="hr-HR" w:eastAsia="hr-HR"/>
                <w14:ligatures w14:val="standardContextual"/>
              </w:rPr>
            </w:pPr>
            <w:r w:rsidRPr="000E700A">
              <w:rPr>
                <w:sz w:val="24"/>
                <w:szCs w:val="24"/>
                <w:lang w:val="hr-HR" w:eastAsia="hr-HR"/>
                <w14:ligatures w14:val="standardContextual"/>
              </w:rPr>
              <w:t>Rashodi za materijal i energiju</w:t>
            </w:r>
          </w:p>
        </w:tc>
        <w:tc>
          <w:tcPr>
            <w:tcW w:w="2420" w:type="dxa"/>
            <w:tcBorders>
              <w:top w:val="nil"/>
              <w:left w:val="nil"/>
              <w:bottom w:val="single" w:sz="4" w:space="0" w:color="auto"/>
              <w:right w:val="single" w:sz="4" w:space="0" w:color="auto"/>
            </w:tcBorders>
            <w:shd w:val="clear" w:color="auto" w:fill="auto"/>
            <w:noWrap/>
            <w:vAlign w:val="center"/>
            <w:hideMark/>
          </w:tcPr>
          <w:p w14:paraId="2AAF4569"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305.226,59</w:t>
            </w:r>
          </w:p>
        </w:tc>
        <w:tc>
          <w:tcPr>
            <w:tcW w:w="1760" w:type="dxa"/>
            <w:tcBorders>
              <w:top w:val="nil"/>
              <w:left w:val="nil"/>
              <w:bottom w:val="single" w:sz="4" w:space="0" w:color="auto"/>
              <w:right w:val="single" w:sz="4" w:space="0" w:color="auto"/>
            </w:tcBorders>
            <w:shd w:val="clear" w:color="auto" w:fill="auto"/>
            <w:noWrap/>
            <w:vAlign w:val="center"/>
            <w:hideMark/>
          </w:tcPr>
          <w:p w14:paraId="21068B90"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2,36%</w:t>
            </w:r>
          </w:p>
        </w:tc>
      </w:tr>
      <w:tr w:rsidR="00D5224C" w:rsidRPr="000E700A" w14:paraId="66675E52" w14:textId="77777777" w:rsidTr="00D5224C">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6AE50C1" w14:textId="77777777" w:rsidR="00D5224C" w:rsidRPr="000E700A" w:rsidRDefault="00D5224C" w:rsidP="00D5224C">
            <w:pPr>
              <w:ind w:firstLineChars="700" w:firstLine="1680"/>
              <w:rPr>
                <w:sz w:val="24"/>
                <w:szCs w:val="24"/>
                <w:lang w:val="hr-HR" w:eastAsia="hr-HR"/>
                <w14:ligatures w14:val="standardContextual"/>
              </w:rPr>
            </w:pPr>
            <w:r w:rsidRPr="000E700A">
              <w:rPr>
                <w:sz w:val="24"/>
                <w:szCs w:val="24"/>
                <w:lang w:val="hr-HR" w:eastAsia="hr-HR"/>
                <w14:ligatures w14:val="standardContextual"/>
              </w:rPr>
              <w:t>323</w:t>
            </w:r>
          </w:p>
        </w:tc>
        <w:tc>
          <w:tcPr>
            <w:tcW w:w="2720" w:type="dxa"/>
            <w:tcBorders>
              <w:top w:val="nil"/>
              <w:left w:val="nil"/>
              <w:bottom w:val="single" w:sz="4" w:space="0" w:color="auto"/>
              <w:right w:val="single" w:sz="4" w:space="0" w:color="auto"/>
            </w:tcBorders>
            <w:shd w:val="clear" w:color="auto" w:fill="auto"/>
            <w:vAlign w:val="center"/>
            <w:hideMark/>
          </w:tcPr>
          <w:p w14:paraId="685CB44F" w14:textId="77777777" w:rsidR="00D5224C" w:rsidRPr="000E700A" w:rsidRDefault="00D5224C" w:rsidP="00D5224C">
            <w:pPr>
              <w:rPr>
                <w:sz w:val="24"/>
                <w:szCs w:val="24"/>
                <w:lang w:val="hr-HR" w:eastAsia="hr-HR"/>
                <w14:ligatures w14:val="standardContextual"/>
              </w:rPr>
            </w:pPr>
            <w:r w:rsidRPr="000E700A">
              <w:rPr>
                <w:sz w:val="24"/>
                <w:szCs w:val="24"/>
                <w:lang w:val="hr-HR" w:eastAsia="hr-HR"/>
                <w14:ligatures w14:val="standardContextual"/>
              </w:rPr>
              <w:t>Rashodi za usluge</w:t>
            </w:r>
          </w:p>
        </w:tc>
        <w:tc>
          <w:tcPr>
            <w:tcW w:w="2420" w:type="dxa"/>
            <w:tcBorders>
              <w:top w:val="nil"/>
              <w:left w:val="nil"/>
              <w:bottom w:val="single" w:sz="4" w:space="0" w:color="auto"/>
              <w:right w:val="single" w:sz="4" w:space="0" w:color="auto"/>
            </w:tcBorders>
            <w:shd w:val="clear" w:color="auto" w:fill="auto"/>
            <w:noWrap/>
            <w:vAlign w:val="center"/>
            <w:hideMark/>
          </w:tcPr>
          <w:p w14:paraId="477E1D61"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10.958.743,74</w:t>
            </w:r>
          </w:p>
        </w:tc>
        <w:tc>
          <w:tcPr>
            <w:tcW w:w="1760" w:type="dxa"/>
            <w:tcBorders>
              <w:top w:val="nil"/>
              <w:left w:val="nil"/>
              <w:bottom w:val="single" w:sz="4" w:space="0" w:color="auto"/>
              <w:right w:val="single" w:sz="4" w:space="0" w:color="auto"/>
            </w:tcBorders>
            <w:shd w:val="clear" w:color="auto" w:fill="auto"/>
            <w:noWrap/>
            <w:vAlign w:val="center"/>
            <w:hideMark/>
          </w:tcPr>
          <w:p w14:paraId="4C39F48B"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84,76%</w:t>
            </w:r>
          </w:p>
        </w:tc>
      </w:tr>
      <w:tr w:rsidR="00D5224C" w:rsidRPr="000E700A" w14:paraId="17D827A8" w14:textId="77777777" w:rsidTr="00D5224C">
        <w:trPr>
          <w:trHeight w:val="51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69A6A39" w14:textId="77777777" w:rsidR="00D5224C" w:rsidRPr="000E700A" w:rsidRDefault="00D5224C" w:rsidP="00D5224C">
            <w:pPr>
              <w:ind w:firstLineChars="700" w:firstLine="1680"/>
              <w:rPr>
                <w:sz w:val="24"/>
                <w:szCs w:val="24"/>
                <w:lang w:val="hr-HR" w:eastAsia="hr-HR"/>
                <w14:ligatures w14:val="standardContextual"/>
              </w:rPr>
            </w:pPr>
            <w:r w:rsidRPr="000E700A">
              <w:rPr>
                <w:sz w:val="24"/>
                <w:szCs w:val="24"/>
                <w:lang w:val="hr-HR" w:eastAsia="hr-HR"/>
                <w14:ligatures w14:val="standardContextual"/>
              </w:rPr>
              <w:t>324</w:t>
            </w:r>
          </w:p>
        </w:tc>
        <w:tc>
          <w:tcPr>
            <w:tcW w:w="2720" w:type="dxa"/>
            <w:tcBorders>
              <w:top w:val="nil"/>
              <w:left w:val="nil"/>
              <w:bottom w:val="single" w:sz="4" w:space="0" w:color="auto"/>
              <w:right w:val="single" w:sz="4" w:space="0" w:color="auto"/>
            </w:tcBorders>
            <w:shd w:val="clear" w:color="auto" w:fill="auto"/>
            <w:vAlign w:val="center"/>
            <w:hideMark/>
          </w:tcPr>
          <w:p w14:paraId="0CE9DEE8" w14:textId="77777777" w:rsidR="00D5224C" w:rsidRPr="000E700A" w:rsidRDefault="00D5224C" w:rsidP="00D5224C">
            <w:pPr>
              <w:rPr>
                <w:sz w:val="24"/>
                <w:szCs w:val="24"/>
                <w:lang w:val="hr-HR" w:eastAsia="hr-HR"/>
                <w14:ligatures w14:val="standardContextual"/>
              </w:rPr>
            </w:pPr>
            <w:r w:rsidRPr="000E700A">
              <w:rPr>
                <w:sz w:val="24"/>
                <w:szCs w:val="24"/>
                <w:lang w:val="hr-HR" w:eastAsia="hr-HR"/>
                <w14:ligatures w14:val="standardContextual"/>
              </w:rPr>
              <w:t>Naknade troškova osobama izvan radnog odnosa</w:t>
            </w:r>
          </w:p>
        </w:tc>
        <w:tc>
          <w:tcPr>
            <w:tcW w:w="2420" w:type="dxa"/>
            <w:tcBorders>
              <w:top w:val="nil"/>
              <w:left w:val="nil"/>
              <w:bottom w:val="single" w:sz="4" w:space="0" w:color="auto"/>
              <w:right w:val="single" w:sz="4" w:space="0" w:color="auto"/>
            </w:tcBorders>
            <w:shd w:val="clear" w:color="auto" w:fill="auto"/>
            <w:noWrap/>
            <w:vAlign w:val="center"/>
            <w:hideMark/>
          </w:tcPr>
          <w:p w14:paraId="031927BA"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507.011,75</w:t>
            </w:r>
          </w:p>
        </w:tc>
        <w:tc>
          <w:tcPr>
            <w:tcW w:w="1760" w:type="dxa"/>
            <w:tcBorders>
              <w:top w:val="nil"/>
              <w:left w:val="nil"/>
              <w:bottom w:val="single" w:sz="4" w:space="0" w:color="auto"/>
              <w:right w:val="single" w:sz="4" w:space="0" w:color="auto"/>
            </w:tcBorders>
            <w:shd w:val="clear" w:color="auto" w:fill="auto"/>
            <w:noWrap/>
            <w:vAlign w:val="center"/>
            <w:hideMark/>
          </w:tcPr>
          <w:p w14:paraId="7715BBF2"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3,92%</w:t>
            </w:r>
          </w:p>
        </w:tc>
      </w:tr>
      <w:tr w:rsidR="00D5224C" w:rsidRPr="000E700A" w14:paraId="46D67C48" w14:textId="77777777" w:rsidTr="00D5224C">
        <w:trPr>
          <w:trHeight w:val="51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A76226F" w14:textId="77777777" w:rsidR="00D5224C" w:rsidRPr="000E700A" w:rsidRDefault="00D5224C" w:rsidP="00D5224C">
            <w:pPr>
              <w:ind w:firstLineChars="700" w:firstLine="1680"/>
              <w:rPr>
                <w:sz w:val="24"/>
                <w:szCs w:val="24"/>
                <w:lang w:val="hr-HR" w:eastAsia="hr-HR"/>
                <w14:ligatures w14:val="standardContextual"/>
              </w:rPr>
            </w:pPr>
            <w:r w:rsidRPr="000E700A">
              <w:rPr>
                <w:sz w:val="24"/>
                <w:szCs w:val="24"/>
                <w:lang w:val="hr-HR" w:eastAsia="hr-HR"/>
                <w14:ligatures w14:val="standardContextual"/>
              </w:rPr>
              <w:t>329</w:t>
            </w:r>
          </w:p>
        </w:tc>
        <w:tc>
          <w:tcPr>
            <w:tcW w:w="2720" w:type="dxa"/>
            <w:tcBorders>
              <w:top w:val="nil"/>
              <w:left w:val="nil"/>
              <w:bottom w:val="single" w:sz="4" w:space="0" w:color="auto"/>
              <w:right w:val="single" w:sz="4" w:space="0" w:color="auto"/>
            </w:tcBorders>
            <w:shd w:val="clear" w:color="auto" w:fill="auto"/>
            <w:vAlign w:val="center"/>
            <w:hideMark/>
          </w:tcPr>
          <w:p w14:paraId="0113E454" w14:textId="77777777" w:rsidR="00D5224C" w:rsidRPr="000E700A" w:rsidRDefault="00D5224C" w:rsidP="00D5224C">
            <w:pPr>
              <w:rPr>
                <w:sz w:val="24"/>
                <w:szCs w:val="24"/>
                <w:lang w:val="hr-HR" w:eastAsia="hr-HR"/>
                <w14:ligatures w14:val="standardContextual"/>
              </w:rPr>
            </w:pPr>
            <w:r w:rsidRPr="000E700A">
              <w:rPr>
                <w:sz w:val="24"/>
                <w:szCs w:val="24"/>
                <w:lang w:val="hr-HR" w:eastAsia="hr-HR"/>
                <w14:ligatures w14:val="standardContextual"/>
              </w:rPr>
              <w:t>Ostali nespomenuti rashodi poslovanja</w:t>
            </w:r>
          </w:p>
        </w:tc>
        <w:tc>
          <w:tcPr>
            <w:tcW w:w="2420" w:type="dxa"/>
            <w:tcBorders>
              <w:top w:val="nil"/>
              <w:left w:val="nil"/>
              <w:bottom w:val="single" w:sz="4" w:space="0" w:color="auto"/>
              <w:right w:val="single" w:sz="4" w:space="0" w:color="auto"/>
            </w:tcBorders>
            <w:shd w:val="clear" w:color="auto" w:fill="auto"/>
            <w:noWrap/>
            <w:vAlign w:val="center"/>
            <w:hideMark/>
          </w:tcPr>
          <w:p w14:paraId="732B227C"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312.445,27</w:t>
            </w:r>
          </w:p>
        </w:tc>
        <w:tc>
          <w:tcPr>
            <w:tcW w:w="1760" w:type="dxa"/>
            <w:tcBorders>
              <w:top w:val="nil"/>
              <w:left w:val="nil"/>
              <w:bottom w:val="single" w:sz="4" w:space="0" w:color="auto"/>
              <w:right w:val="single" w:sz="4" w:space="0" w:color="auto"/>
            </w:tcBorders>
            <w:shd w:val="clear" w:color="auto" w:fill="auto"/>
            <w:noWrap/>
            <w:vAlign w:val="center"/>
            <w:hideMark/>
          </w:tcPr>
          <w:p w14:paraId="58D6E330" w14:textId="77777777" w:rsidR="00D5224C" w:rsidRPr="000E700A" w:rsidRDefault="00D5224C" w:rsidP="00D5224C">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2,42%</w:t>
            </w:r>
          </w:p>
        </w:tc>
      </w:tr>
    </w:tbl>
    <w:p w14:paraId="7982469B" w14:textId="77777777" w:rsidR="00D5224C" w:rsidRPr="000E700A" w:rsidRDefault="00D5224C" w:rsidP="006A69F1">
      <w:pPr>
        <w:spacing w:line="360" w:lineRule="auto"/>
        <w:jc w:val="both"/>
        <w:rPr>
          <w:b/>
          <w:i/>
          <w:iCs/>
          <w:sz w:val="24"/>
          <w:szCs w:val="24"/>
          <w:lang w:val="hr-HR"/>
        </w:rPr>
      </w:pPr>
    </w:p>
    <w:p w14:paraId="027D5E69" w14:textId="77777777" w:rsidR="0036760D" w:rsidRPr="000E700A" w:rsidRDefault="0036760D" w:rsidP="00A649AA">
      <w:pPr>
        <w:spacing w:line="360" w:lineRule="auto"/>
        <w:jc w:val="both"/>
        <w:rPr>
          <w:sz w:val="24"/>
          <w:szCs w:val="24"/>
        </w:rPr>
      </w:pPr>
    </w:p>
    <w:p w14:paraId="26DABCCC" w14:textId="010D4E53" w:rsidR="00A649AA" w:rsidRPr="000E700A" w:rsidRDefault="00BD10B1" w:rsidP="00DA0760">
      <w:pPr>
        <w:spacing w:line="360" w:lineRule="auto"/>
        <w:textAlignment w:val="baseline"/>
        <w:rPr>
          <w:sz w:val="24"/>
          <w:szCs w:val="24"/>
        </w:rPr>
      </w:pPr>
      <w:r w:rsidRPr="000E700A">
        <w:rPr>
          <w:sz w:val="24"/>
          <w:szCs w:val="24"/>
        </w:rPr>
        <w:t>N</w:t>
      </w:r>
      <w:r w:rsidR="00A649AA" w:rsidRPr="000E700A">
        <w:rPr>
          <w:sz w:val="24"/>
          <w:szCs w:val="24"/>
        </w:rPr>
        <w:t xml:space="preserve">a </w:t>
      </w:r>
      <w:proofErr w:type="spellStart"/>
      <w:r w:rsidR="00A649AA" w:rsidRPr="000E700A">
        <w:rPr>
          <w:sz w:val="24"/>
          <w:szCs w:val="24"/>
        </w:rPr>
        <w:t>stavci</w:t>
      </w:r>
      <w:proofErr w:type="spellEnd"/>
      <w:r w:rsidR="00A649AA" w:rsidRPr="000E700A">
        <w:rPr>
          <w:sz w:val="24"/>
          <w:szCs w:val="24"/>
        </w:rPr>
        <w:t xml:space="preserve"> </w:t>
      </w:r>
      <w:proofErr w:type="spellStart"/>
      <w:r w:rsidR="00A649AA" w:rsidRPr="000E700A">
        <w:rPr>
          <w:sz w:val="24"/>
          <w:szCs w:val="24"/>
        </w:rPr>
        <w:t>uslug</w:t>
      </w:r>
      <w:r w:rsidR="00844835" w:rsidRPr="000E700A">
        <w:rPr>
          <w:sz w:val="24"/>
          <w:szCs w:val="24"/>
        </w:rPr>
        <w:t>e</w:t>
      </w:r>
      <w:proofErr w:type="spellEnd"/>
      <w:r w:rsidR="00A649AA" w:rsidRPr="000E700A">
        <w:rPr>
          <w:sz w:val="24"/>
          <w:szCs w:val="24"/>
        </w:rPr>
        <w:t xml:space="preserve"> </w:t>
      </w:r>
      <w:proofErr w:type="spellStart"/>
      <w:r w:rsidR="00A649AA" w:rsidRPr="000E700A">
        <w:rPr>
          <w:sz w:val="24"/>
          <w:szCs w:val="24"/>
        </w:rPr>
        <w:t>telefona</w:t>
      </w:r>
      <w:proofErr w:type="spellEnd"/>
      <w:r w:rsidR="00A649AA" w:rsidRPr="000E700A">
        <w:rPr>
          <w:sz w:val="24"/>
          <w:szCs w:val="24"/>
        </w:rPr>
        <w:t xml:space="preserve">, </w:t>
      </w:r>
      <w:proofErr w:type="spellStart"/>
      <w:r w:rsidR="00A649AA" w:rsidRPr="000E700A">
        <w:rPr>
          <w:sz w:val="24"/>
          <w:szCs w:val="24"/>
        </w:rPr>
        <w:t>pošte</w:t>
      </w:r>
      <w:proofErr w:type="spellEnd"/>
      <w:r w:rsidR="00A649AA" w:rsidRPr="000E700A">
        <w:rPr>
          <w:sz w:val="24"/>
          <w:szCs w:val="24"/>
        </w:rPr>
        <w:t xml:space="preserve"> </w:t>
      </w:r>
      <w:proofErr w:type="spellStart"/>
      <w:r w:rsidR="00A649AA" w:rsidRPr="000E700A">
        <w:rPr>
          <w:sz w:val="24"/>
          <w:szCs w:val="24"/>
        </w:rPr>
        <w:t>i</w:t>
      </w:r>
      <w:proofErr w:type="spellEnd"/>
      <w:r w:rsidR="00A649AA" w:rsidRPr="000E700A">
        <w:rPr>
          <w:sz w:val="24"/>
          <w:szCs w:val="24"/>
        </w:rPr>
        <w:t xml:space="preserve"> </w:t>
      </w:r>
      <w:proofErr w:type="spellStart"/>
      <w:r w:rsidR="00A649AA" w:rsidRPr="000E700A">
        <w:rPr>
          <w:sz w:val="24"/>
          <w:szCs w:val="24"/>
        </w:rPr>
        <w:t>prijevoza</w:t>
      </w:r>
      <w:proofErr w:type="spellEnd"/>
      <w:r w:rsidR="00A649AA" w:rsidRPr="000E700A">
        <w:rPr>
          <w:sz w:val="24"/>
          <w:szCs w:val="24"/>
        </w:rPr>
        <w:t xml:space="preserve"> </w:t>
      </w:r>
      <w:proofErr w:type="spellStart"/>
      <w:r w:rsidR="00A649AA" w:rsidRPr="000E700A">
        <w:rPr>
          <w:sz w:val="24"/>
          <w:szCs w:val="24"/>
        </w:rPr>
        <w:t>ostvareni</w:t>
      </w:r>
      <w:proofErr w:type="spellEnd"/>
      <w:r w:rsidR="00A649AA" w:rsidRPr="000E700A">
        <w:rPr>
          <w:sz w:val="24"/>
          <w:szCs w:val="24"/>
        </w:rPr>
        <w:t xml:space="preserve"> </w:t>
      </w:r>
      <w:proofErr w:type="spellStart"/>
      <w:r w:rsidR="00A649AA" w:rsidRPr="000E700A">
        <w:rPr>
          <w:sz w:val="24"/>
          <w:szCs w:val="24"/>
        </w:rPr>
        <w:t>su</w:t>
      </w:r>
      <w:proofErr w:type="spellEnd"/>
      <w:r w:rsidR="00A649AA" w:rsidRPr="000E700A">
        <w:rPr>
          <w:sz w:val="24"/>
          <w:szCs w:val="24"/>
        </w:rPr>
        <w:t xml:space="preserve"> </w:t>
      </w:r>
      <w:proofErr w:type="spellStart"/>
      <w:r w:rsidR="00A649AA" w:rsidRPr="000E700A">
        <w:rPr>
          <w:sz w:val="24"/>
          <w:szCs w:val="24"/>
        </w:rPr>
        <w:t>rashodi</w:t>
      </w:r>
      <w:proofErr w:type="spellEnd"/>
      <w:r w:rsidR="00A649AA" w:rsidRPr="000E700A">
        <w:rPr>
          <w:sz w:val="24"/>
          <w:szCs w:val="24"/>
        </w:rPr>
        <w:t xml:space="preserve"> u </w:t>
      </w:r>
      <w:proofErr w:type="spellStart"/>
      <w:r w:rsidR="00A649AA" w:rsidRPr="000E700A">
        <w:rPr>
          <w:sz w:val="24"/>
          <w:szCs w:val="24"/>
        </w:rPr>
        <w:t>nominalnom</w:t>
      </w:r>
      <w:proofErr w:type="spellEnd"/>
      <w:r w:rsidR="00A649AA" w:rsidRPr="000E700A">
        <w:rPr>
          <w:sz w:val="24"/>
          <w:szCs w:val="24"/>
        </w:rPr>
        <w:t xml:space="preserve"> </w:t>
      </w:r>
      <w:proofErr w:type="spellStart"/>
      <w:r w:rsidR="00A649AA" w:rsidRPr="000E700A">
        <w:rPr>
          <w:sz w:val="24"/>
          <w:szCs w:val="24"/>
        </w:rPr>
        <w:t>iznosu</w:t>
      </w:r>
      <w:proofErr w:type="spellEnd"/>
      <w:r w:rsidR="00A649AA" w:rsidRPr="000E700A">
        <w:rPr>
          <w:sz w:val="24"/>
          <w:szCs w:val="24"/>
        </w:rPr>
        <w:t xml:space="preserve"> </w:t>
      </w:r>
      <w:r w:rsidR="00842017" w:rsidRPr="000E700A">
        <w:rPr>
          <w:sz w:val="24"/>
          <w:szCs w:val="24"/>
        </w:rPr>
        <w:t>od 4.</w:t>
      </w:r>
      <w:r w:rsidRPr="000E700A">
        <w:rPr>
          <w:sz w:val="24"/>
          <w:szCs w:val="24"/>
        </w:rPr>
        <w:t xml:space="preserve">698.781,42 EUR </w:t>
      </w:r>
      <w:proofErr w:type="spellStart"/>
      <w:r w:rsidRPr="000E700A">
        <w:rPr>
          <w:sz w:val="24"/>
          <w:szCs w:val="24"/>
        </w:rPr>
        <w:t>i</w:t>
      </w:r>
      <w:proofErr w:type="spellEnd"/>
      <w:r w:rsidR="00225FB9" w:rsidRPr="000E700A">
        <w:rPr>
          <w:sz w:val="24"/>
          <w:szCs w:val="24"/>
        </w:rPr>
        <w:t xml:space="preserve"> </w:t>
      </w:r>
      <w:proofErr w:type="spellStart"/>
      <w:r w:rsidR="00225FB9" w:rsidRPr="000E700A">
        <w:rPr>
          <w:sz w:val="24"/>
          <w:szCs w:val="24"/>
        </w:rPr>
        <w:t>predstavljaju</w:t>
      </w:r>
      <w:proofErr w:type="spellEnd"/>
      <w:r w:rsidR="00225FB9" w:rsidRPr="000E700A">
        <w:rPr>
          <w:sz w:val="24"/>
          <w:szCs w:val="24"/>
        </w:rPr>
        <w:t xml:space="preserve"> 42,87% </w:t>
      </w:r>
      <w:proofErr w:type="spellStart"/>
      <w:r w:rsidR="00225FB9" w:rsidRPr="000E700A">
        <w:rPr>
          <w:sz w:val="24"/>
          <w:szCs w:val="24"/>
        </w:rPr>
        <w:t>rashoda</w:t>
      </w:r>
      <w:proofErr w:type="spellEnd"/>
      <w:r w:rsidR="00225FB9" w:rsidRPr="000E700A">
        <w:rPr>
          <w:sz w:val="24"/>
          <w:szCs w:val="24"/>
        </w:rPr>
        <w:t xml:space="preserve"> za </w:t>
      </w:r>
      <w:proofErr w:type="spellStart"/>
      <w:r w:rsidR="00225FB9" w:rsidRPr="000E700A">
        <w:rPr>
          <w:sz w:val="24"/>
          <w:szCs w:val="24"/>
        </w:rPr>
        <w:t>usluge</w:t>
      </w:r>
      <w:proofErr w:type="spellEnd"/>
      <w:r w:rsidR="002925F5" w:rsidRPr="000E700A">
        <w:rPr>
          <w:sz w:val="24"/>
          <w:szCs w:val="24"/>
        </w:rPr>
        <w:t>.</w:t>
      </w:r>
      <w:r w:rsidRPr="000E700A">
        <w:rPr>
          <w:sz w:val="24"/>
          <w:szCs w:val="24"/>
        </w:rPr>
        <w:t xml:space="preserve"> </w:t>
      </w:r>
      <w:proofErr w:type="spellStart"/>
      <w:r w:rsidR="002925F5" w:rsidRPr="000E700A">
        <w:rPr>
          <w:sz w:val="24"/>
          <w:szCs w:val="24"/>
        </w:rPr>
        <w:t>N</w:t>
      </w:r>
      <w:r w:rsidR="00A649AA" w:rsidRPr="000E700A">
        <w:rPr>
          <w:sz w:val="24"/>
          <w:szCs w:val="24"/>
        </w:rPr>
        <w:t>avedeno</w:t>
      </w:r>
      <w:proofErr w:type="spellEnd"/>
      <w:r w:rsidR="00A649AA" w:rsidRPr="000E700A">
        <w:rPr>
          <w:sz w:val="24"/>
          <w:szCs w:val="24"/>
        </w:rPr>
        <w:t xml:space="preserve"> se </w:t>
      </w:r>
      <w:proofErr w:type="spellStart"/>
      <w:r w:rsidR="00A649AA" w:rsidRPr="000E700A">
        <w:rPr>
          <w:sz w:val="24"/>
          <w:szCs w:val="24"/>
        </w:rPr>
        <w:t>uglavnom</w:t>
      </w:r>
      <w:proofErr w:type="spellEnd"/>
      <w:r w:rsidR="00A649AA" w:rsidRPr="000E700A">
        <w:rPr>
          <w:sz w:val="24"/>
          <w:szCs w:val="24"/>
        </w:rPr>
        <w:t xml:space="preserve"> </w:t>
      </w:r>
      <w:proofErr w:type="spellStart"/>
      <w:r w:rsidR="00A649AA" w:rsidRPr="000E700A">
        <w:rPr>
          <w:sz w:val="24"/>
          <w:szCs w:val="24"/>
        </w:rPr>
        <w:t>odnosi</w:t>
      </w:r>
      <w:proofErr w:type="spellEnd"/>
      <w:r w:rsidR="00A649AA" w:rsidRPr="000E700A">
        <w:rPr>
          <w:sz w:val="24"/>
          <w:szCs w:val="24"/>
        </w:rPr>
        <w:t xml:space="preserve"> </w:t>
      </w:r>
      <w:proofErr w:type="spellStart"/>
      <w:r w:rsidR="00A649AA" w:rsidRPr="000E700A">
        <w:rPr>
          <w:sz w:val="24"/>
          <w:szCs w:val="24"/>
        </w:rPr>
        <w:t>na</w:t>
      </w:r>
      <w:proofErr w:type="spellEnd"/>
      <w:r w:rsidR="003658C5" w:rsidRPr="000E700A">
        <w:rPr>
          <w:sz w:val="24"/>
          <w:szCs w:val="24"/>
        </w:rPr>
        <w:t xml:space="preserve"> </w:t>
      </w:r>
      <w:proofErr w:type="spellStart"/>
      <w:r w:rsidR="003658C5" w:rsidRPr="000E700A">
        <w:rPr>
          <w:sz w:val="24"/>
          <w:szCs w:val="24"/>
        </w:rPr>
        <w:t>rashode</w:t>
      </w:r>
      <w:proofErr w:type="spellEnd"/>
      <w:r w:rsidR="003658C5" w:rsidRPr="000E700A">
        <w:rPr>
          <w:sz w:val="24"/>
          <w:szCs w:val="24"/>
        </w:rPr>
        <w:t xml:space="preserve"> </w:t>
      </w:r>
      <w:proofErr w:type="spellStart"/>
      <w:r w:rsidR="003658C5" w:rsidRPr="000E700A">
        <w:rPr>
          <w:sz w:val="24"/>
          <w:szCs w:val="24"/>
        </w:rPr>
        <w:t>vezane</w:t>
      </w:r>
      <w:proofErr w:type="spellEnd"/>
      <w:r w:rsidR="003658C5" w:rsidRPr="000E700A">
        <w:rPr>
          <w:sz w:val="24"/>
          <w:szCs w:val="24"/>
        </w:rPr>
        <w:t xml:space="preserve"> za </w:t>
      </w:r>
      <w:proofErr w:type="spellStart"/>
      <w:r w:rsidR="003658C5" w:rsidRPr="000E700A">
        <w:rPr>
          <w:sz w:val="24"/>
          <w:szCs w:val="24"/>
        </w:rPr>
        <w:t>telekomunikacijske</w:t>
      </w:r>
      <w:proofErr w:type="spellEnd"/>
      <w:r w:rsidR="003658C5" w:rsidRPr="000E700A">
        <w:rPr>
          <w:sz w:val="24"/>
          <w:szCs w:val="24"/>
        </w:rPr>
        <w:t xml:space="preserve"> </w:t>
      </w:r>
      <w:proofErr w:type="spellStart"/>
      <w:r w:rsidR="003658C5" w:rsidRPr="000E700A">
        <w:rPr>
          <w:sz w:val="24"/>
          <w:szCs w:val="24"/>
        </w:rPr>
        <w:t>i</w:t>
      </w:r>
      <w:proofErr w:type="spellEnd"/>
      <w:r w:rsidR="003658C5" w:rsidRPr="000E700A">
        <w:rPr>
          <w:sz w:val="24"/>
          <w:szCs w:val="24"/>
        </w:rPr>
        <w:t xml:space="preserve"> </w:t>
      </w:r>
      <w:proofErr w:type="spellStart"/>
      <w:r w:rsidR="003658C5" w:rsidRPr="000E700A">
        <w:rPr>
          <w:sz w:val="24"/>
          <w:szCs w:val="24"/>
        </w:rPr>
        <w:t>infrastrukturne</w:t>
      </w:r>
      <w:proofErr w:type="spellEnd"/>
      <w:r w:rsidR="003658C5" w:rsidRPr="000E700A">
        <w:rPr>
          <w:sz w:val="24"/>
          <w:szCs w:val="24"/>
        </w:rPr>
        <w:t xml:space="preserve"> </w:t>
      </w:r>
      <w:proofErr w:type="spellStart"/>
      <w:r w:rsidR="003658C5" w:rsidRPr="000E700A">
        <w:rPr>
          <w:sz w:val="24"/>
          <w:szCs w:val="24"/>
        </w:rPr>
        <w:t>poveznice</w:t>
      </w:r>
      <w:proofErr w:type="spellEnd"/>
      <w:r w:rsidR="003658C5" w:rsidRPr="000E700A">
        <w:rPr>
          <w:sz w:val="24"/>
          <w:szCs w:val="24"/>
        </w:rPr>
        <w:t xml:space="preserve"> </w:t>
      </w:r>
      <w:proofErr w:type="spellStart"/>
      <w:r w:rsidR="003658C5" w:rsidRPr="000E700A">
        <w:rPr>
          <w:sz w:val="24"/>
          <w:szCs w:val="24"/>
        </w:rPr>
        <w:t>na</w:t>
      </w:r>
      <w:proofErr w:type="spellEnd"/>
      <w:r w:rsidR="003658C5" w:rsidRPr="000E700A">
        <w:rPr>
          <w:sz w:val="24"/>
          <w:szCs w:val="24"/>
        </w:rPr>
        <w:t xml:space="preserve"> CARNET </w:t>
      </w:r>
      <w:proofErr w:type="spellStart"/>
      <w:r w:rsidR="003658C5" w:rsidRPr="000E700A">
        <w:rPr>
          <w:sz w:val="24"/>
          <w:szCs w:val="24"/>
        </w:rPr>
        <w:t>mrežu</w:t>
      </w:r>
      <w:proofErr w:type="spellEnd"/>
      <w:r w:rsidR="003658C5" w:rsidRPr="000E700A">
        <w:rPr>
          <w:sz w:val="24"/>
          <w:szCs w:val="24"/>
        </w:rPr>
        <w:t xml:space="preserve"> </w:t>
      </w:r>
      <w:proofErr w:type="spellStart"/>
      <w:r w:rsidR="003658C5" w:rsidRPr="000E700A">
        <w:rPr>
          <w:sz w:val="24"/>
          <w:szCs w:val="24"/>
        </w:rPr>
        <w:t>dio</w:t>
      </w:r>
      <w:proofErr w:type="spellEnd"/>
      <w:r w:rsidR="003658C5" w:rsidRPr="000E700A">
        <w:rPr>
          <w:sz w:val="24"/>
          <w:szCs w:val="24"/>
        </w:rPr>
        <w:t xml:space="preserve"> </w:t>
      </w:r>
      <w:proofErr w:type="spellStart"/>
      <w:r w:rsidR="003658C5" w:rsidRPr="000E700A">
        <w:rPr>
          <w:sz w:val="24"/>
          <w:szCs w:val="24"/>
        </w:rPr>
        <w:t>koje</w:t>
      </w:r>
      <w:proofErr w:type="spellEnd"/>
      <w:r w:rsidR="003658C5" w:rsidRPr="000E700A">
        <w:rPr>
          <w:sz w:val="24"/>
          <w:szCs w:val="24"/>
        </w:rPr>
        <w:t xml:space="preserve"> </w:t>
      </w:r>
      <w:proofErr w:type="spellStart"/>
      <w:r w:rsidR="003658C5" w:rsidRPr="000E700A">
        <w:rPr>
          <w:sz w:val="24"/>
          <w:szCs w:val="24"/>
        </w:rPr>
        <w:t>su</w:t>
      </w:r>
      <w:proofErr w:type="spellEnd"/>
      <w:r w:rsidR="003658C5" w:rsidRPr="000E700A">
        <w:rPr>
          <w:sz w:val="24"/>
          <w:szCs w:val="24"/>
        </w:rPr>
        <w:t xml:space="preserve"> </w:t>
      </w:r>
      <w:proofErr w:type="spellStart"/>
      <w:r w:rsidR="003658C5" w:rsidRPr="000E700A">
        <w:rPr>
          <w:sz w:val="24"/>
          <w:szCs w:val="24"/>
        </w:rPr>
        <w:t>ustanove</w:t>
      </w:r>
      <w:proofErr w:type="spellEnd"/>
      <w:r w:rsidR="003658C5" w:rsidRPr="000E700A">
        <w:rPr>
          <w:sz w:val="24"/>
          <w:szCs w:val="24"/>
        </w:rPr>
        <w:t xml:space="preserve"> </w:t>
      </w:r>
      <w:proofErr w:type="spellStart"/>
      <w:r w:rsidR="003658C5" w:rsidRPr="000E700A">
        <w:rPr>
          <w:sz w:val="24"/>
          <w:szCs w:val="24"/>
        </w:rPr>
        <w:t>i</w:t>
      </w:r>
      <w:proofErr w:type="spellEnd"/>
      <w:r w:rsidR="003658C5" w:rsidRPr="000E700A">
        <w:rPr>
          <w:sz w:val="24"/>
          <w:szCs w:val="24"/>
        </w:rPr>
        <w:t xml:space="preserve"> </w:t>
      </w:r>
      <w:proofErr w:type="spellStart"/>
      <w:r w:rsidR="003658C5" w:rsidRPr="000E700A">
        <w:rPr>
          <w:sz w:val="24"/>
          <w:szCs w:val="24"/>
        </w:rPr>
        <w:t>institucije</w:t>
      </w:r>
      <w:proofErr w:type="spellEnd"/>
      <w:r w:rsidR="003658C5" w:rsidRPr="000E700A">
        <w:rPr>
          <w:sz w:val="24"/>
          <w:szCs w:val="24"/>
        </w:rPr>
        <w:t xml:space="preserve"> u </w:t>
      </w:r>
      <w:proofErr w:type="spellStart"/>
      <w:r w:rsidR="003658C5" w:rsidRPr="000E700A">
        <w:rPr>
          <w:sz w:val="24"/>
          <w:szCs w:val="24"/>
        </w:rPr>
        <w:t>Republici</w:t>
      </w:r>
      <w:proofErr w:type="spellEnd"/>
      <w:r w:rsidR="003658C5" w:rsidRPr="000E700A">
        <w:rPr>
          <w:sz w:val="24"/>
          <w:szCs w:val="24"/>
        </w:rPr>
        <w:t xml:space="preserve"> </w:t>
      </w:r>
      <w:proofErr w:type="spellStart"/>
      <w:r w:rsidR="003658C5" w:rsidRPr="000E700A">
        <w:rPr>
          <w:sz w:val="24"/>
          <w:szCs w:val="24"/>
        </w:rPr>
        <w:t>Hrvatskoj</w:t>
      </w:r>
      <w:proofErr w:type="spellEnd"/>
      <w:r w:rsidR="003658C5" w:rsidRPr="000E700A">
        <w:rPr>
          <w:sz w:val="24"/>
          <w:szCs w:val="24"/>
        </w:rPr>
        <w:t xml:space="preserve"> </w:t>
      </w:r>
      <w:proofErr w:type="spellStart"/>
      <w:r w:rsidR="003658C5" w:rsidRPr="000E700A">
        <w:rPr>
          <w:sz w:val="24"/>
          <w:szCs w:val="24"/>
        </w:rPr>
        <w:t>poput</w:t>
      </w:r>
      <w:proofErr w:type="spellEnd"/>
      <w:r w:rsidR="003658C5" w:rsidRPr="000E700A">
        <w:rPr>
          <w:sz w:val="24"/>
          <w:szCs w:val="24"/>
        </w:rPr>
        <w:t xml:space="preserve"> </w:t>
      </w:r>
      <w:proofErr w:type="spellStart"/>
      <w:r w:rsidR="003658C5" w:rsidRPr="000E700A">
        <w:rPr>
          <w:sz w:val="24"/>
          <w:szCs w:val="24"/>
        </w:rPr>
        <w:t>sveučilišta</w:t>
      </w:r>
      <w:proofErr w:type="spellEnd"/>
      <w:r w:rsidR="003658C5" w:rsidRPr="000E700A">
        <w:rPr>
          <w:sz w:val="24"/>
          <w:szCs w:val="24"/>
        </w:rPr>
        <w:t xml:space="preserve"> </w:t>
      </w:r>
      <w:proofErr w:type="spellStart"/>
      <w:r w:rsidR="003658C5" w:rsidRPr="000E700A">
        <w:rPr>
          <w:sz w:val="24"/>
          <w:szCs w:val="24"/>
        </w:rPr>
        <w:t>i</w:t>
      </w:r>
      <w:proofErr w:type="spellEnd"/>
      <w:r w:rsidR="003658C5" w:rsidRPr="000E700A">
        <w:rPr>
          <w:sz w:val="24"/>
          <w:szCs w:val="24"/>
        </w:rPr>
        <w:t xml:space="preserve"> </w:t>
      </w:r>
      <w:proofErr w:type="spellStart"/>
      <w:r w:rsidR="003658C5" w:rsidRPr="000E700A">
        <w:rPr>
          <w:sz w:val="24"/>
          <w:szCs w:val="24"/>
        </w:rPr>
        <w:t>fakulteti</w:t>
      </w:r>
      <w:proofErr w:type="spellEnd"/>
      <w:r w:rsidR="003658C5" w:rsidRPr="000E700A">
        <w:rPr>
          <w:sz w:val="24"/>
          <w:szCs w:val="24"/>
        </w:rPr>
        <w:t xml:space="preserve"> u </w:t>
      </w:r>
      <w:proofErr w:type="spellStart"/>
      <w:r w:rsidR="003658C5" w:rsidRPr="000E700A">
        <w:rPr>
          <w:sz w:val="24"/>
          <w:szCs w:val="24"/>
        </w:rPr>
        <w:t>njihovu</w:t>
      </w:r>
      <w:proofErr w:type="spellEnd"/>
      <w:r w:rsidR="003658C5" w:rsidRPr="000E700A">
        <w:rPr>
          <w:sz w:val="24"/>
          <w:szCs w:val="24"/>
        </w:rPr>
        <w:t xml:space="preserve"> </w:t>
      </w:r>
      <w:proofErr w:type="spellStart"/>
      <w:r w:rsidR="003658C5" w:rsidRPr="000E700A">
        <w:rPr>
          <w:sz w:val="24"/>
          <w:szCs w:val="24"/>
        </w:rPr>
        <w:t>sastavu</w:t>
      </w:r>
      <w:proofErr w:type="spellEnd"/>
      <w:r w:rsidR="003658C5" w:rsidRPr="000E700A">
        <w:rPr>
          <w:sz w:val="24"/>
          <w:szCs w:val="24"/>
        </w:rPr>
        <w:t xml:space="preserve">, </w:t>
      </w:r>
      <w:proofErr w:type="spellStart"/>
      <w:r w:rsidR="003658C5" w:rsidRPr="000E700A">
        <w:rPr>
          <w:sz w:val="24"/>
          <w:szCs w:val="24"/>
        </w:rPr>
        <w:t>ostale</w:t>
      </w:r>
      <w:proofErr w:type="spellEnd"/>
      <w:r w:rsidR="003658C5" w:rsidRPr="000E700A">
        <w:rPr>
          <w:sz w:val="24"/>
          <w:szCs w:val="24"/>
        </w:rPr>
        <w:t xml:space="preserve"> </w:t>
      </w:r>
      <w:proofErr w:type="spellStart"/>
      <w:r w:rsidR="003658C5" w:rsidRPr="000E700A">
        <w:rPr>
          <w:sz w:val="24"/>
          <w:szCs w:val="24"/>
        </w:rPr>
        <w:t>visokoškolske</w:t>
      </w:r>
      <w:proofErr w:type="spellEnd"/>
      <w:r w:rsidR="003658C5" w:rsidRPr="000E700A">
        <w:rPr>
          <w:sz w:val="24"/>
          <w:szCs w:val="24"/>
        </w:rPr>
        <w:t xml:space="preserve"> </w:t>
      </w:r>
      <w:proofErr w:type="spellStart"/>
      <w:r w:rsidR="003658C5" w:rsidRPr="000E700A">
        <w:rPr>
          <w:sz w:val="24"/>
          <w:szCs w:val="24"/>
        </w:rPr>
        <w:t>ustanove</w:t>
      </w:r>
      <w:proofErr w:type="spellEnd"/>
      <w:r w:rsidR="003658C5" w:rsidRPr="000E700A">
        <w:rPr>
          <w:sz w:val="24"/>
          <w:szCs w:val="24"/>
        </w:rPr>
        <w:t xml:space="preserve">, </w:t>
      </w:r>
      <w:proofErr w:type="spellStart"/>
      <w:r w:rsidR="003658C5" w:rsidRPr="000E700A">
        <w:rPr>
          <w:sz w:val="24"/>
          <w:szCs w:val="24"/>
        </w:rPr>
        <w:t>znanstveno-istraživački</w:t>
      </w:r>
      <w:proofErr w:type="spellEnd"/>
      <w:r w:rsidR="003658C5" w:rsidRPr="000E700A">
        <w:rPr>
          <w:sz w:val="24"/>
          <w:szCs w:val="24"/>
        </w:rPr>
        <w:t xml:space="preserve"> </w:t>
      </w:r>
      <w:proofErr w:type="spellStart"/>
      <w:r w:rsidR="003658C5" w:rsidRPr="000E700A">
        <w:rPr>
          <w:sz w:val="24"/>
          <w:szCs w:val="24"/>
        </w:rPr>
        <w:t>instituti</w:t>
      </w:r>
      <w:proofErr w:type="spellEnd"/>
      <w:r w:rsidR="003658C5" w:rsidRPr="000E700A">
        <w:rPr>
          <w:sz w:val="24"/>
          <w:szCs w:val="24"/>
        </w:rPr>
        <w:t xml:space="preserve">, </w:t>
      </w:r>
      <w:proofErr w:type="spellStart"/>
      <w:r w:rsidR="003658C5" w:rsidRPr="000E700A">
        <w:rPr>
          <w:sz w:val="24"/>
          <w:szCs w:val="24"/>
        </w:rPr>
        <w:t>osnovne</w:t>
      </w:r>
      <w:proofErr w:type="spellEnd"/>
      <w:r w:rsidR="003658C5" w:rsidRPr="000E700A">
        <w:rPr>
          <w:sz w:val="24"/>
          <w:szCs w:val="24"/>
        </w:rPr>
        <w:t xml:space="preserve"> </w:t>
      </w:r>
      <w:proofErr w:type="spellStart"/>
      <w:r w:rsidR="003658C5" w:rsidRPr="000E700A">
        <w:rPr>
          <w:sz w:val="24"/>
          <w:szCs w:val="24"/>
        </w:rPr>
        <w:t>i</w:t>
      </w:r>
      <w:proofErr w:type="spellEnd"/>
      <w:r w:rsidR="003658C5" w:rsidRPr="000E700A">
        <w:rPr>
          <w:sz w:val="24"/>
          <w:szCs w:val="24"/>
        </w:rPr>
        <w:t xml:space="preserve"> </w:t>
      </w:r>
      <w:proofErr w:type="spellStart"/>
      <w:r w:rsidR="003658C5" w:rsidRPr="000E700A">
        <w:rPr>
          <w:sz w:val="24"/>
          <w:szCs w:val="24"/>
        </w:rPr>
        <w:t>srednje</w:t>
      </w:r>
      <w:proofErr w:type="spellEnd"/>
      <w:r w:rsidR="003658C5" w:rsidRPr="000E700A">
        <w:rPr>
          <w:sz w:val="24"/>
          <w:szCs w:val="24"/>
        </w:rPr>
        <w:t xml:space="preserve"> </w:t>
      </w:r>
      <w:proofErr w:type="spellStart"/>
      <w:r w:rsidR="003658C5" w:rsidRPr="000E700A">
        <w:rPr>
          <w:sz w:val="24"/>
          <w:szCs w:val="24"/>
        </w:rPr>
        <w:t>škole</w:t>
      </w:r>
      <w:proofErr w:type="spellEnd"/>
      <w:r w:rsidR="003658C5" w:rsidRPr="000E700A">
        <w:rPr>
          <w:sz w:val="24"/>
          <w:szCs w:val="24"/>
        </w:rPr>
        <w:t xml:space="preserve"> </w:t>
      </w:r>
      <w:proofErr w:type="spellStart"/>
      <w:r w:rsidR="003658C5" w:rsidRPr="000E700A">
        <w:rPr>
          <w:sz w:val="24"/>
          <w:szCs w:val="24"/>
        </w:rPr>
        <w:t>i</w:t>
      </w:r>
      <w:proofErr w:type="spellEnd"/>
      <w:r w:rsidR="003658C5" w:rsidRPr="000E700A">
        <w:rPr>
          <w:sz w:val="24"/>
          <w:szCs w:val="24"/>
        </w:rPr>
        <w:t xml:space="preserve"> dr. </w:t>
      </w:r>
      <w:proofErr w:type="spellStart"/>
      <w:r w:rsidRPr="000E700A">
        <w:rPr>
          <w:sz w:val="24"/>
          <w:szCs w:val="24"/>
        </w:rPr>
        <w:t>I</w:t>
      </w:r>
      <w:r w:rsidR="002157A0" w:rsidRPr="000E700A">
        <w:rPr>
          <w:sz w:val="24"/>
          <w:szCs w:val="24"/>
        </w:rPr>
        <w:t>zvršenje</w:t>
      </w:r>
      <w:proofErr w:type="spellEnd"/>
      <w:r w:rsidR="002157A0" w:rsidRPr="000E700A">
        <w:rPr>
          <w:sz w:val="24"/>
          <w:szCs w:val="24"/>
        </w:rPr>
        <w:t xml:space="preserve"> je u </w:t>
      </w:r>
      <w:proofErr w:type="spellStart"/>
      <w:r w:rsidR="002157A0" w:rsidRPr="000E700A">
        <w:rPr>
          <w:sz w:val="24"/>
          <w:szCs w:val="24"/>
        </w:rPr>
        <w:t>skladu</w:t>
      </w:r>
      <w:proofErr w:type="spellEnd"/>
      <w:r w:rsidR="002157A0" w:rsidRPr="000E700A">
        <w:rPr>
          <w:sz w:val="24"/>
          <w:szCs w:val="24"/>
        </w:rPr>
        <w:t xml:space="preserve"> s </w:t>
      </w:r>
      <w:proofErr w:type="spellStart"/>
      <w:r w:rsidRPr="000E700A">
        <w:rPr>
          <w:sz w:val="24"/>
          <w:szCs w:val="24"/>
        </w:rPr>
        <w:t>planiranim</w:t>
      </w:r>
      <w:proofErr w:type="spellEnd"/>
      <w:r w:rsidRPr="000E700A">
        <w:rPr>
          <w:sz w:val="24"/>
          <w:szCs w:val="24"/>
        </w:rPr>
        <w:t xml:space="preserve"> </w:t>
      </w:r>
      <w:proofErr w:type="spellStart"/>
      <w:r w:rsidRPr="000E700A">
        <w:rPr>
          <w:sz w:val="24"/>
          <w:szCs w:val="24"/>
        </w:rPr>
        <w:t>sredstvima</w:t>
      </w:r>
      <w:proofErr w:type="spellEnd"/>
      <w:r w:rsidR="00225FB9" w:rsidRPr="000E700A">
        <w:rPr>
          <w:sz w:val="24"/>
          <w:szCs w:val="24"/>
        </w:rPr>
        <w:t xml:space="preserve"> </w:t>
      </w:r>
      <w:proofErr w:type="spellStart"/>
      <w:r w:rsidR="00225FB9" w:rsidRPr="000E700A">
        <w:rPr>
          <w:sz w:val="24"/>
          <w:szCs w:val="24"/>
        </w:rPr>
        <w:t>i</w:t>
      </w:r>
      <w:proofErr w:type="spellEnd"/>
      <w:r w:rsidR="00225FB9" w:rsidRPr="000E700A">
        <w:rPr>
          <w:sz w:val="24"/>
          <w:szCs w:val="24"/>
        </w:rPr>
        <w:t xml:space="preserve"> </w:t>
      </w:r>
      <w:proofErr w:type="spellStart"/>
      <w:r w:rsidR="00225FB9" w:rsidRPr="000E700A">
        <w:rPr>
          <w:sz w:val="24"/>
          <w:szCs w:val="24"/>
        </w:rPr>
        <w:t>iznosi</w:t>
      </w:r>
      <w:proofErr w:type="spellEnd"/>
      <w:r w:rsidR="00225FB9" w:rsidRPr="000E700A">
        <w:rPr>
          <w:sz w:val="24"/>
          <w:szCs w:val="24"/>
        </w:rPr>
        <w:t xml:space="preserve"> 98,99%.</w:t>
      </w:r>
    </w:p>
    <w:p w14:paraId="06EC6A24" w14:textId="77777777" w:rsidR="00C919B8" w:rsidRPr="000E700A" w:rsidRDefault="00C919B8" w:rsidP="00DA0760">
      <w:pPr>
        <w:spacing w:line="360" w:lineRule="auto"/>
        <w:textAlignment w:val="baseline"/>
        <w:rPr>
          <w:sz w:val="24"/>
          <w:szCs w:val="24"/>
        </w:rPr>
      </w:pPr>
    </w:p>
    <w:p w14:paraId="23CA58DD" w14:textId="5C8B71D6" w:rsidR="00C919B8" w:rsidRPr="000E700A" w:rsidRDefault="00BD10B1" w:rsidP="00C919B8">
      <w:pPr>
        <w:spacing w:line="360" w:lineRule="auto"/>
        <w:jc w:val="both"/>
        <w:rPr>
          <w:sz w:val="24"/>
          <w:szCs w:val="24"/>
        </w:rPr>
      </w:pPr>
      <w:r w:rsidRPr="000E700A">
        <w:rPr>
          <w:sz w:val="24"/>
          <w:szCs w:val="24"/>
        </w:rPr>
        <w:lastRenderedPageBreak/>
        <w:t xml:space="preserve">Na </w:t>
      </w:r>
      <w:proofErr w:type="spellStart"/>
      <w:r w:rsidRPr="000E700A">
        <w:rPr>
          <w:sz w:val="24"/>
          <w:szCs w:val="24"/>
        </w:rPr>
        <w:t>stavci</w:t>
      </w:r>
      <w:proofErr w:type="spellEnd"/>
      <w:r w:rsidRPr="000E700A">
        <w:rPr>
          <w:sz w:val="24"/>
          <w:szCs w:val="24"/>
        </w:rPr>
        <w:t xml:space="preserve"> </w:t>
      </w:r>
      <w:proofErr w:type="spellStart"/>
      <w:r w:rsidRPr="000E700A">
        <w:rPr>
          <w:sz w:val="24"/>
          <w:szCs w:val="24"/>
        </w:rPr>
        <w:t>u</w:t>
      </w:r>
      <w:r w:rsidR="00C919B8" w:rsidRPr="000E700A">
        <w:rPr>
          <w:sz w:val="24"/>
          <w:szCs w:val="24"/>
        </w:rPr>
        <w:t>slug</w:t>
      </w:r>
      <w:r w:rsidR="00844835" w:rsidRPr="000E700A">
        <w:rPr>
          <w:sz w:val="24"/>
          <w:szCs w:val="24"/>
        </w:rPr>
        <w:t>a</w:t>
      </w:r>
      <w:proofErr w:type="spellEnd"/>
      <w:r w:rsidR="00C919B8" w:rsidRPr="000E700A">
        <w:rPr>
          <w:sz w:val="24"/>
          <w:szCs w:val="24"/>
        </w:rPr>
        <w:t xml:space="preserve"> </w:t>
      </w:r>
      <w:proofErr w:type="spellStart"/>
      <w:r w:rsidR="00C919B8" w:rsidRPr="000E700A">
        <w:rPr>
          <w:sz w:val="24"/>
          <w:szCs w:val="24"/>
        </w:rPr>
        <w:t>tekućeg</w:t>
      </w:r>
      <w:proofErr w:type="spellEnd"/>
      <w:r w:rsidR="00C919B8" w:rsidRPr="000E700A">
        <w:rPr>
          <w:sz w:val="24"/>
          <w:szCs w:val="24"/>
        </w:rPr>
        <w:t xml:space="preserve"> </w:t>
      </w:r>
      <w:proofErr w:type="spellStart"/>
      <w:r w:rsidR="00C919B8" w:rsidRPr="000E700A">
        <w:rPr>
          <w:sz w:val="24"/>
          <w:szCs w:val="24"/>
        </w:rPr>
        <w:t>i</w:t>
      </w:r>
      <w:proofErr w:type="spellEnd"/>
      <w:r w:rsidR="00C919B8" w:rsidRPr="000E700A">
        <w:rPr>
          <w:sz w:val="24"/>
          <w:szCs w:val="24"/>
        </w:rPr>
        <w:t xml:space="preserve"> </w:t>
      </w:r>
      <w:proofErr w:type="spellStart"/>
      <w:r w:rsidR="00C919B8" w:rsidRPr="000E700A">
        <w:rPr>
          <w:sz w:val="24"/>
          <w:szCs w:val="24"/>
        </w:rPr>
        <w:t>investicijskog</w:t>
      </w:r>
      <w:proofErr w:type="spellEnd"/>
      <w:r w:rsidR="00C919B8" w:rsidRPr="000E700A">
        <w:rPr>
          <w:sz w:val="24"/>
          <w:szCs w:val="24"/>
        </w:rPr>
        <w:t xml:space="preserve"> </w:t>
      </w:r>
      <w:proofErr w:type="spellStart"/>
      <w:r w:rsidR="00C919B8" w:rsidRPr="000E700A">
        <w:rPr>
          <w:sz w:val="24"/>
          <w:szCs w:val="24"/>
        </w:rPr>
        <w:t>održavanja</w:t>
      </w:r>
      <w:proofErr w:type="spellEnd"/>
      <w:r w:rsidR="00C919B8" w:rsidRPr="000E700A">
        <w:rPr>
          <w:sz w:val="24"/>
          <w:szCs w:val="24"/>
        </w:rPr>
        <w:t xml:space="preserve"> </w:t>
      </w:r>
      <w:r w:rsidRPr="000E700A">
        <w:rPr>
          <w:sz w:val="24"/>
          <w:szCs w:val="24"/>
        </w:rPr>
        <w:t xml:space="preserve">pad je </w:t>
      </w:r>
      <w:proofErr w:type="spellStart"/>
      <w:r w:rsidRPr="000E700A">
        <w:rPr>
          <w:sz w:val="24"/>
          <w:szCs w:val="24"/>
        </w:rPr>
        <w:t>rashoda</w:t>
      </w:r>
      <w:proofErr w:type="spellEnd"/>
      <w:r w:rsidRPr="000E700A">
        <w:rPr>
          <w:sz w:val="24"/>
          <w:szCs w:val="24"/>
        </w:rPr>
        <w:t xml:space="preserve"> od 86,94%</w:t>
      </w:r>
      <w:r w:rsidR="00C919B8"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n</w:t>
      </w:r>
      <w:r w:rsidR="00C919B8" w:rsidRPr="000E700A">
        <w:rPr>
          <w:sz w:val="24"/>
          <w:szCs w:val="24"/>
        </w:rPr>
        <w:t>avedeno</w:t>
      </w:r>
      <w:proofErr w:type="spellEnd"/>
      <w:r w:rsidR="00C919B8" w:rsidRPr="000E700A">
        <w:rPr>
          <w:sz w:val="24"/>
          <w:szCs w:val="24"/>
        </w:rPr>
        <w:t xml:space="preserve"> </w:t>
      </w:r>
      <w:proofErr w:type="spellStart"/>
      <w:r w:rsidR="00225FB9" w:rsidRPr="000E700A">
        <w:rPr>
          <w:sz w:val="24"/>
          <w:szCs w:val="24"/>
        </w:rPr>
        <w:t>smanjenje</w:t>
      </w:r>
      <w:proofErr w:type="spellEnd"/>
      <w:r w:rsidR="00225FB9" w:rsidRPr="000E700A">
        <w:rPr>
          <w:sz w:val="24"/>
          <w:szCs w:val="24"/>
        </w:rPr>
        <w:t xml:space="preserve"> se</w:t>
      </w:r>
      <w:r w:rsidR="00C919B8" w:rsidRPr="000E700A">
        <w:rPr>
          <w:sz w:val="24"/>
          <w:szCs w:val="24"/>
        </w:rPr>
        <w:t xml:space="preserve"> </w:t>
      </w:r>
      <w:proofErr w:type="spellStart"/>
      <w:r w:rsidR="00C919B8" w:rsidRPr="000E700A">
        <w:rPr>
          <w:sz w:val="24"/>
          <w:szCs w:val="24"/>
        </w:rPr>
        <w:t>odnosi</w:t>
      </w:r>
      <w:proofErr w:type="spellEnd"/>
      <w:r w:rsidR="00C919B8" w:rsidRPr="000E700A">
        <w:rPr>
          <w:sz w:val="24"/>
          <w:szCs w:val="24"/>
        </w:rPr>
        <w:t xml:space="preserve"> </w:t>
      </w:r>
      <w:proofErr w:type="spellStart"/>
      <w:r w:rsidR="00C919B8" w:rsidRPr="000E700A">
        <w:rPr>
          <w:sz w:val="24"/>
          <w:szCs w:val="24"/>
        </w:rPr>
        <w:t>na</w:t>
      </w:r>
      <w:proofErr w:type="spellEnd"/>
      <w:r w:rsidR="00C919B8" w:rsidRPr="000E700A">
        <w:rPr>
          <w:sz w:val="24"/>
          <w:szCs w:val="24"/>
        </w:rPr>
        <w:t xml:space="preserve"> </w:t>
      </w:r>
      <w:proofErr w:type="spellStart"/>
      <w:r w:rsidR="00C919B8" w:rsidRPr="000E700A">
        <w:rPr>
          <w:sz w:val="24"/>
          <w:szCs w:val="24"/>
        </w:rPr>
        <w:t>rashode</w:t>
      </w:r>
      <w:proofErr w:type="spellEnd"/>
      <w:r w:rsidR="00C919B8" w:rsidRPr="000E700A">
        <w:rPr>
          <w:sz w:val="24"/>
          <w:szCs w:val="24"/>
        </w:rPr>
        <w:t xml:space="preserve"> </w:t>
      </w:r>
      <w:proofErr w:type="spellStart"/>
      <w:r w:rsidR="00C919B8" w:rsidRPr="000E700A">
        <w:rPr>
          <w:sz w:val="24"/>
          <w:szCs w:val="24"/>
        </w:rPr>
        <w:t>povezane</w:t>
      </w:r>
      <w:proofErr w:type="spellEnd"/>
      <w:r w:rsidR="00C919B8" w:rsidRPr="000E700A">
        <w:rPr>
          <w:sz w:val="24"/>
          <w:szCs w:val="24"/>
        </w:rPr>
        <w:t xml:space="preserve"> s </w:t>
      </w:r>
      <w:proofErr w:type="spellStart"/>
      <w:r w:rsidR="00C919B8" w:rsidRPr="000E700A">
        <w:rPr>
          <w:sz w:val="24"/>
          <w:szCs w:val="24"/>
        </w:rPr>
        <w:t>izgradnjom</w:t>
      </w:r>
      <w:proofErr w:type="spellEnd"/>
      <w:r w:rsidR="00C919B8" w:rsidRPr="000E700A">
        <w:rPr>
          <w:sz w:val="24"/>
          <w:szCs w:val="24"/>
        </w:rPr>
        <w:t xml:space="preserve"> IKT </w:t>
      </w:r>
      <w:proofErr w:type="spellStart"/>
      <w:r w:rsidR="00C919B8" w:rsidRPr="000E700A">
        <w:rPr>
          <w:sz w:val="24"/>
          <w:szCs w:val="24"/>
        </w:rPr>
        <w:t>infrastrukture</w:t>
      </w:r>
      <w:proofErr w:type="spellEnd"/>
      <w:r w:rsidR="00C919B8" w:rsidRPr="000E700A">
        <w:rPr>
          <w:sz w:val="24"/>
          <w:szCs w:val="24"/>
        </w:rPr>
        <w:t xml:space="preserve"> u </w:t>
      </w:r>
      <w:proofErr w:type="spellStart"/>
      <w:r w:rsidR="00C919B8" w:rsidRPr="000E700A">
        <w:rPr>
          <w:sz w:val="24"/>
          <w:szCs w:val="24"/>
        </w:rPr>
        <w:t>sklopu</w:t>
      </w:r>
      <w:proofErr w:type="spellEnd"/>
      <w:r w:rsidR="00C919B8" w:rsidRPr="000E700A">
        <w:rPr>
          <w:sz w:val="24"/>
          <w:szCs w:val="24"/>
        </w:rPr>
        <w:t xml:space="preserve"> </w:t>
      </w:r>
      <w:proofErr w:type="spellStart"/>
      <w:r w:rsidR="00C919B8" w:rsidRPr="000E700A">
        <w:rPr>
          <w:sz w:val="24"/>
          <w:szCs w:val="24"/>
        </w:rPr>
        <w:t>projekta</w:t>
      </w:r>
      <w:proofErr w:type="spellEnd"/>
      <w:r w:rsidR="00C919B8" w:rsidRPr="000E700A">
        <w:rPr>
          <w:sz w:val="24"/>
          <w:szCs w:val="24"/>
        </w:rPr>
        <w:t xml:space="preserve"> „e-</w:t>
      </w:r>
      <w:proofErr w:type="spellStart"/>
      <w:r w:rsidR="00C919B8" w:rsidRPr="000E700A">
        <w:rPr>
          <w:sz w:val="24"/>
          <w:szCs w:val="24"/>
        </w:rPr>
        <w:t>Škole</w:t>
      </w:r>
      <w:proofErr w:type="spellEnd"/>
      <w:r w:rsidR="00C919B8" w:rsidRPr="000E700A">
        <w:rPr>
          <w:sz w:val="24"/>
          <w:szCs w:val="24"/>
        </w:rPr>
        <w:t xml:space="preserve">: </w:t>
      </w:r>
      <w:proofErr w:type="spellStart"/>
      <w:r w:rsidR="00C919B8" w:rsidRPr="000E700A">
        <w:rPr>
          <w:sz w:val="24"/>
          <w:szCs w:val="24"/>
        </w:rPr>
        <w:t>Razvoj</w:t>
      </w:r>
      <w:proofErr w:type="spellEnd"/>
      <w:r w:rsidR="00C919B8" w:rsidRPr="000E700A">
        <w:rPr>
          <w:sz w:val="24"/>
          <w:szCs w:val="24"/>
        </w:rPr>
        <w:t xml:space="preserve"> </w:t>
      </w:r>
      <w:proofErr w:type="spellStart"/>
      <w:r w:rsidR="00C919B8" w:rsidRPr="000E700A">
        <w:rPr>
          <w:sz w:val="24"/>
          <w:szCs w:val="24"/>
        </w:rPr>
        <w:t>sustava</w:t>
      </w:r>
      <w:proofErr w:type="spellEnd"/>
      <w:r w:rsidR="00C919B8" w:rsidRPr="000E700A">
        <w:rPr>
          <w:sz w:val="24"/>
          <w:szCs w:val="24"/>
        </w:rPr>
        <w:t xml:space="preserve"> </w:t>
      </w:r>
      <w:proofErr w:type="spellStart"/>
      <w:r w:rsidR="00C919B8" w:rsidRPr="000E700A">
        <w:rPr>
          <w:sz w:val="24"/>
          <w:szCs w:val="24"/>
        </w:rPr>
        <w:t>digitalno</w:t>
      </w:r>
      <w:proofErr w:type="spellEnd"/>
      <w:r w:rsidR="00C919B8" w:rsidRPr="000E700A">
        <w:rPr>
          <w:sz w:val="24"/>
          <w:szCs w:val="24"/>
        </w:rPr>
        <w:t xml:space="preserve"> </w:t>
      </w:r>
      <w:proofErr w:type="spellStart"/>
      <w:r w:rsidR="00C919B8" w:rsidRPr="000E700A">
        <w:rPr>
          <w:sz w:val="24"/>
          <w:szCs w:val="24"/>
        </w:rPr>
        <w:t>zrelih</w:t>
      </w:r>
      <w:proofErr w:type="spellEnd"/>
      <w:r w:rsidR="00C919B8" w:rsidRPr="000E700A">
        <w:rPr>
          <w:sz w:val="24"/>
          <w:szCs w:val="24"/>
        </w:rPr>
        <w:t xml:space="preserve"> </w:t>
      </w:r>
      <w:proofErr w:type="spellStart"/>
      <w:r w:rsidR="00C919B8" w:rsidRPr="000E700A">
        <w:rPr>
          <w:sz w:val="24"/>
          <w:szCs w:val="24"/>
        </w:rPr>
        <w:t>škola</w:t>
      </w:r>
      <w:proofErr w:type="spellEnd"/>
      <w:r w:rsidR="00C919B8" w:rsidRPr="000E700A">
        <w:rPr>
          <w:sz w:val="24"/>
          <w:szCs w:val="24"/>
        </w:rPr>
        <w:t xml:space="preserve"> (II. </w:t>
      </w:r>
      <w:proofErr w:type="spellStart"/>
      <w:r w:rsidR="00C919B8" w:rsidRPr="000E700A">
        <w:rPr>
          <w:sz w:val="24"/>
          <w:szCs w:val="24"/>
        </w:rPr>
        <w:t>faza</w:t>
      </w:r>
      <w:proofErr w:type="spellEnd"/>
      <w:r w:rsidR="00C919B8" w:rsidRPr="000E700A">
        <w:rPr>
          <w:sz w:val="24"/>
          <w:szCs w:val="24"/>
        </w:rPr>
        <w:t>)”</w:t>
      </w:r>
      <w:r w:rsidRPr="000E700A">
        <w:rPr>
          <w:sz w:val="24"/>
          <w:szCs w:val="24"/>
        </w:rPr>
        <w:t xml:space="preserve"> </w:t>
      </w:r>
      <w:proofErr w:type="spellStart"/>
      <w:r w:rsidR="00844835" w:rsidRPr="000E700A">
        <w:rPr>
          <w:sz w:val="24"/>
          <w:szCs w:val="24"/>
        </w:rPr>
        <w:t>i</w:t>
      </w:r>
      <w:proofErr w:type="spellEnd"/>
      <w:r w:rsidRPr="000E700A">
        <w:rPr>
          <w:sz w:val="24"/>
          <w:szCs w:val="24"/>
        </w:rPr>
        <w:t xml:space="preserve"> </w:t>
      </w:r>
      <w:proofErr w:type="spellStart"/>
      <w:r w:rsidRPr="000E700A">
        <w:rPr>
          <w:sz w:val="24"/>
          <w:szCs w:val="24"/>
        </w:rPr>
        <w:t>zavr</w:t>
      </w:r>
      <w:r w:rsidR="00225FB9" w:rsidRPr="000E700A">
        <w:rPr>
          <w:sz w:val="24"/>
          <w:szCs w:val="24"/>
        </w:rPr>
        <w:t>š</w:t>
      </w:r>
      <w:r w:rsidRPr="000E700A">
        <w:rPr>
          <w:sz w:val="24"/>
          <w:szCs w:val="24"/>
        </w:rPr>
        <w:t>etkom</w:t>
      </w:r>
      <w:proofErr w:type="spellEnd"/>
      <w:r w:rsidRPr="000E700A">
        <w:rPr>
          <w:sz w:val="24"/>
          <w:szCs w:val="24"/>
        </w:rPr>
        <w:t xml:space="preserve"> </w:t>
      </w:r>
      <w:proofErr w:type="spellStart"/>
      <w:r w:rsidRPr="000E700A">
        <w:rPr>
          <w:sz w:val="24"/>
          <w:szCs w:val="24"/>
        </w:rPr>
        <w:t>projekta</w:t>
      </w:r>
      <w:proofErr w:type="spellEnd"/>
      <w:r w:rsidRPr="000E700A">
        <w:rPr>
          <w:sz w:val="24"/>
          <w:szCs w:val="24"/>
        </w:rPr>
        <w:t xml:space="preserve"> u </w:t>
      </w:r>
      <w:proofErr w:type="spellStart"/>
      <w:r w:rsidRPr="000E700A">
        <w:rPr>
          <w:sz w:val="24"/>
          <w:szCs w:val="24"/>
        </w:rPr>
        <w:t>prethodnoj</w:t>
      </w:r>
      <w:proofErr w:type="spellEnd"/>
      <w:r w:rsidRPr="000E700A">
        <w:rPr>
          <w:sz w:val="24"/>
          <w:szCs w:val="24"/>
        </w:rPr>
        <w:t xml:space="preserve"> </w:t>
      </w:r>
      <w:proofErr w:type="spellStart"/>
      <w:r w:rsidRPr="000E700A">
        <w:rPr>
          <w:sz w:val="24"/>
          <w:szCs w:val="24"/>
        </w:rPr>
        <w:t>godini</w:t>
      </w:r>
      <w:proofErr w:type="spellEnd"/>
      <w:r w:rsidRPr="000E700A">
        <w:rPr>
          <w:sz w:val="24"/>
          <w:szCs w:val="24"/>
        </w:rPr>
        <w:t>.</w:t>
      </w:r>
    </w:p>
    <w:p w14:paraId="24BFDE71" w14:textId="77777777" w:rsidR="00C919B8" w:rsidRPr="000E700A" w:rsidRDefault="00C919B8" w:rsidP="00C919B8">
      <w:pPr>
        <w:spacing w:line="360" w:lineRule="auto"/>
        <w:jc w:val="both"/>
        <w:rPr>
          <w:sz w:val="24"/>
          <w:szCs w:val="24"/>
        </w:rPr>
      </w:pPr>
    </w:p>
    <w:p w14:paraId="412A7790" w14:textId="12A0B086" w:rsidR="00E14E67" w:rsidRPr="000E700A" w:rsidRDefault="002925F5" w:rsidP="00E14E67">
      <w:pPr>
        <w:spacing w:line="360" w:lineRule="auto"/>
        <w:jc w:val="both"/>
        <w:rPr>
          <w:sz w:val="24"/>
          <w:szCs w:val="24"/>
        </w:rPr>
      </w:pPr>
      <w:r w:rsidRPr="00E14E67">
        <w:rPr>
          <w:sz w:val="24"/>
          <w:szCs w:val="24"/>
        </w:rPr>
        <w:t xml:space="preserve">Na </w:t>
      </w:r>
      <w:proofErr w:type="spellStart"/>
      <w:r w:rsidRPr="00E14E67">
        <w:rPr>
          <w:sz w:val="24"/>
          <w:szCs w:val="24"/>
        </w:rPr>
        <w:t>stavci</w:t>
      </w:r>
      <w:proofErr w:type="spellEnd"/>
      <w:r w:rsidRPr="00E14E67">
        <w:rPr>
          <w:sz w:val="24"/>
          <w:szCs w:val="24"/>
        </w:rPr>
        <w:t xml:space="preserve"> </w:t>
      </w:r>
      <w:proofErr w:type="spellStart"/>
      <w:r w:rsidRPr="00E14E67">
        <w:rPr>
          <w:sz w:val="24"/>
          <w:szCs w:val="24"/>
        </w:rPr>
        <w:t>i</w:t>
      </w:r>
      <w:r w:rsidR="00C919B8" w:rsidRPr="00E14E67">
        <w:rPr>
          <w:sz w:val="24"/>
          <w:szCs w:val="24"/>
        </w:rPr>
        <w:t>ntelektualne</w:t>
      </w:r>
      <w:proofErr w:type="spellEnd"/>
      <w:r w:rsidR="00C919B8" w:rsidRPr="00E14E67">
        <w:rPr>
          <w:sz w:val="24"/>
          <w:szCs w:val="24"/>
        </w:rPr>
        <w:t xml:space="preserve"> </w:t>
      </w:r>
      <w:proofErr w:type="spellStart"/>
      <w:r w:rsidR="00C919B8" w:rsidRPr="00E14E67">
        <w:rPr>
          <w:sz w:val="24"/>
          <w:szCs w:val="24"/>
        </w:rPr>
        <w:t>i</w:t>
      </w:r>
      <w:proofErr w:type="spellEnd"/>
      <w:r w:rsidR="00C919B8" w:rsidRPr="00E14E67">
        <w:rPr>
          <w:sz w:val="24"/>
          <w:szCs w:val="24"/>
        </w:rPr>
        <w:t xml:space="preserve"> </w:t>
      </w:r>
      <w:proofErr w:type="spellStart"/>
      <w:r w:rsidR="00C919B8" w:rsidRPr="00E14E67">
        <w:rPr>
          <w:sz w:val="24"/>
          <w:szCs w:val="24"/>
        </w:rPr>
        <w:t>osobne</w:t>
      </w:r>
      <w:proofErr w:type="spellEnd"/>
      <w:r w:rsidR="00C919B8" w:rsidRPr="00E14E67">
        <w:rPr>
          <w:sz w:val="24"/>
          <w:szCs w:val="24"/>
        </w:rPr>
        <w:t xml:space="preserve"> </w:t>
      </w:r>
      <w:proofErr w:type="spellStart"/>
      <w:r w:rsidR="00C919B8" w:rsidRPr="00E14E67">
        <w:rPr>
          <w:sz w:val="24"/>
          <w:szCs w:val="24"/>
        </w:rPr>
        <w:t>usluge</w:t>
      </w:r>
      <w:proofErr w:type="spellEnd"/>
      <w:r w:rsidR="00C919B8" w:rsidRPr="00E14E67">
        <w:rPr>
          <w:sz w:val="24"/>
          <w:szCs w:val="24"/>
        </w:rPr>
        <w:t xml:space="preserve"> </w:t>
      </w:r>
      <w:proofErr w:type="spellStart"/>
      <w:r w:rsidR="00C919B8" w:rsidRPr="00E14E67">
        <w:rPr>
          <w:sz w:val="24"/>
          <w:szCs w:val="24"/>
        </w:rPr>
        <w:t>ostvareni</w:t>
      </w:r>
      <w:proofErr w:type="spellEnd"/>
      <w:r w:rsidRPr="00E14E67">
        <w:rPr>
          <w:sz w:val="24"/>
          <w:szCs w:val="24"/>
        </w:rPr>
        <w:t xml:space="preserve"> </w:t>
      </w:r>
      <w:proofErr w:type="spellStart"/>
      <w:r w:rsidRPr="00E14E67">
        <w:rPr>
          <w:sz w:val="24"/>
          <w:szCs w:val="24"/>
        </w:rPr>
        <w:t>su</w:t>
      </w:r>
      <w:proofErr w:type="spellEnd"/>
      <w:r w:rsidRPr="00E14E67">
        <w:rPr>
          <w:sz w:val="24"/>
          <w:szCs w:val="24"/>
        </w:rPr>
        <w:t xml:space="preserve"> </w:t>
      </w:r>
      <w:proofErr w:type="spellStart"/>
      <w:r w:rsidR="00C919B8" w:rsidRPr="00E14E67">
        <w:rPr>
          <w:sz w:val="24"/>
          <w:szCs w:val="24"/>
        </w:rPr>
        <w:t>rashodi</w:t>
      </w:r>
      <w:proofErr w:type="spellEnd"/>
      <w:r w:rsidR="00C919B8" w:rsidRPr="00E14E67">
        <w:rPr>
          <w:sz w:val="24"/>
          <w:szCs w:val="24"/>
        </w:rPr>
        <w:t xml:space="preserve"> u </w:t>
      </w:r>
      <w:proofErr w:type="spellStart"/>
      <w:r w:rsidR="00C919B8" w:rsidRPr="00E14E67">
        <w:rPr>
          <w:sz w:val="24"/>
          <w:szCs w:val="24"/>
        </w:rPr>
        <w:t>iznosu</w:t>
      </w:r>
      <w:proofErr w:type="spellEnd"/>
      <w:r w:rsidR="00C919B8" w:rsidRPr="00E14E67">
        <w:rPr>
          <w:sz w:val="24"/>
          <w:szCs w:val="24"/>
        </w:rPr>
        <w:t xml:space="preserve"> od </w:t>
      </w:r>
      <w:r w:rsidRPr="00E14E67">
        <w:rPr>
          <w:sz w:val="24"/>
          <w:szCs w:val="24"/>
        </w:rPr>
        <w:t xml:space="preserve">1.988.308,40 EUR </w:t>
      </w:r>
      <w:proofErr w:type="spellStart"/>
      <w:r w:rsidRPr="00E14E67">
        <w:rPr>
          <w:sz w:val="24"/>
          <w:szCs w:val="24"/>
        </w:rPr>
        <w:t>i</w:t>
      </w:r>
      <w:proofErr w:type="spellEnd"/>
      <w:r w:rsidRPr="00E14E67">
        <w:rPr>
          <w:sz w:val="24"/>
          <w:szCs w:val="24"/>
        </w:rPr>
        <w:t xml:space="preserve"> </w:t>
      </w:r>
      <w:r w:rsidR="00E14E67" w:rsidRPr="00E14E67">
        <w:rPr>
          <w:sz w:val="24"/>
          <w:szCs w:val="24"/>
        </w:rPr>
        <w:t xml:space="preserve">44% </w:t>
      </w:r>
      <w:proofErr w:type="spellStart"/>
      <w:r w:rsidR="00E14E67" w:rsidRPr="00E14E67">
        <w:rPr>
          <w:sz w:val="24"/>
          <w:szCs w:val="24"/>
        </w:rPr>
        <w:t>odnosno</w:t>
      </w:r>
      <w:proofErr w:type="spellEnd"/>
      <w:r w:rsidR="00E14E67" w:rsidRPr="00E14E67">
        <w:rPr>
          <w:sz w:val="24"/>
          <w:szCs w:val="24"/>
        </w:rPr>
        <w:t xml:space="preserve"> 866.656,31 EUR</w:t>
      </w:r>
      <w:r w:rsidR="00880666">
        <w:rPr>
          <w:sz w:val="24"/>
          <w:szCs w:val="24"/>
        </w:rPr>
        <w:t xml:space="preserve"> </w:t>
      </w:r>
      <w:proofErr w:type="spellStart"/>
      <w:r w:rsidR="00880666">
        <w:rPr>
          <w:sz w:val="24"/>
          <w:szCs w:val="24"/>
        </w:rPr>
        <w:t>rashoda</w:t>
      </w:r>
      <w:proofErr w:type="spellEnd"/>
      <w:r w:rsidR="00880666">
        <w:rPr>
          <w:sz w:val="24"/>
          <w:szCs w:val="24"/>
        </w:rPr>
        <w:t xml:space="preserve"> se </w:t>
      </w:r>
      <w:proofErr w:type="spellStart"/>
      <w:r w:rsidR="00880666">
        <w:rPr>
          <w:sz w:val="24"/>
          <w:szCs w:val="24"/>
        </w:rPr>
        <w:t>odnosi</w:t>
      </w:r>
      <w:proofErr w:type="spellEnd"/>
      <w:r w:rsidR="00880666">
        <w:rPr>
          <w:sz w:val="24"/>
          <w:szCs w:val="24"/>
        </w:rPr>
        <w:t xml:space="preserve"> </w:t>
      </w:r>
      <w:proofErr w:type="spellStart"/>
      <w:proofErr w:type="gramStart"/>
      <w:r w:rsidR="00880666">
        <w:rPr>
          <w:sz w:val="24"/>
          <w:szCs w:val="24"/>
        </w:rPr>
        <w:t>na</w:t>
      </w:r>
      <w:proofErr w:type="spellEnd"/>
      <w:r w:rsidR="00880666">
        <w:rPr>
          <w:sz w:val="24"/>
          <w:szCs w:val="24"/>
        </w:rPr>
        <w:t xml:space="preserve"> </w:t>
      </w:r>
      <w:r w:rsidR="00E14E67" w:rsidRPr="00E14E67">
        <w:rPr>
          <w:sz w:val="24"/>
          <w:szCs w:val="24"/>
        </w:rPr>
        <w:t xml:space="preserve"> </w:t>
      </w:r>
      <w:proofErr w:type="spellStart"/>
      <w:r w:rsidR="00E14E67" w:rsidRPr="00E14E67">
        <w:rPr>
          <w:sz w:val="24"/>
          <w:szCs w:val="24"/>
        </w:rPr>
        <w:t>na</w:t>
      </w:r>
      <w:proofErr w:type="spellEnd"/>
      <w:proofErr w:type="gramEnd"/>
      <w:r w:rsidR="00E14E67" w:rsidRPr="00E14E67">
        <w:rPr>
          <w:sz w:val="24"/>
          <w:szCs w:val="24"/>
        </w:rPr>
        <w:t xml:space="preserve"> </w:t>
      </w:r>
      <w:proofErr w:type="spellStart"/>
      <w:r w:rsidR="00E14E67" w:rsidRPr="00E14E67">
        <w:rPr>
          <w:sz w:val="24"/>
          <w:szCs w:val="24"/>
        </w:rPr>
        <w:t>projekt</w:t>
      </w:r>
      <w:proofErr w:type="spellEnd"/>
      <w:r w:rsidR="00E14E67" w:rsidRPr="00E14E67">
        <w:rPr>
          <w:sz w:val="24"/>
          <w:szCs w:val="24"/>
        </w:rPr>
        <w:t xml:space="preserve"> </w:t>
      </w:r>
      <w:r w:rsidR="00E14E67" w:rsidRPr="00E14E67">
        <w:rPr>
          <w:sz w:val="24"/>
          <w:szCs w:val="24"/>
        </w:rPr>
        <w:t>“</w:t>
      </w:r>
      <w:proofErr w:type="spellStart"/>
      <w:r w:rsidR="00E14E67" w:rsidRPr="00E14E67">
        <w:rPr>
          <w:sz w:val="24"/>
          <w:szCs w:val="24"/>
        </w:rPr>
        <w:t>Digitalna</w:t>
      </w:r>
      <w:proofErr w:type="spellEnd"/>
      <w:r w:rsidR="00E14E67" w:rsidRPr="00E14E67">
        <w:rPr>
          <w:sz w:val="24"/>
          <w:szCs w:val="24"/>
        </w:rPr>
        <w:t xml:space="preserve"> </w:t>
      </w:r>
      <w:proofErr w:type="spellStart"/>
      <w:r w:rsidR="00E14E67" w:rsidRPr="00E14E67">
        <w:rPr>
          <w:sz w:val="24"/>
          <w:szCs w:val="24"/>
        </w:rPr>
        <w:t>preobrazba</w:t>
      </w:r>
      <w:proofErr w:type="spellEnd"/>
      <w:r w:rsidR="00E14E67" w:rsidRPr="00E14E67">
        <w:rPr>
          <w:sz w:val="24"/>
          <w:szCs w:val="24"/>
        </w:rPr>
        <w:t xml:space="preserve"> </w:t>
      </w:r>
      <w:proofErr w:type="spellStart"/>
      <w:r w:rsidR="00E14E67" w:rsidRPr="00E14E67">
        <w:rPr>
          <w:sz w:val="24"/>
          <w:szCs w:val="24"/>
        </w:rPr>
        <w:t>visokog</w:t>
      </w:r>
      <w:proofErr w:type="spellEnd"/>
      <w:r w:rsidR="00E14E67" w:rsidRPr="000E700A">
        <w:rPr>
          <w:sz w:val="24"/>
          <w:szCs w:val="24"/>
        </w:rPr>
        <w:t xml:space="preserve"> </w:t>
      </w:r>
      <w:proofErr w:type="spellStart"/>
      <w:r w:rsidR="00E14E67" w:rsidRPr="000E700A">
        <w:rPr>
          <w:sz w:val="24"/>
          <w:szCs w:val="24"/>
        </w:rPr>
        <w:t>obrazovanja</w:t>
      </w:r>
      <w:proofErr w:type="spellEnd"/>
      <w:r w:rsidR="00E14E67" w:rsidRPr="000E700A">
        <w:rPr>
          <w:sz w:val="24"/>
          <w:szCs w:val="24"/>
        </w:rPr>
        <w:t xml:space="preserve"> e-</w:t>
      </w:r>
      <w:proofErr w:type="spellStart"/>
      <w:r w:rsidR="00E14E67" w:rsidRPr="000E700A">
        <w:rPr>
          <w:sz w:val="24"/>
          <w:szCs w:val="24"/>
        </w:rPr>
        <w:t>Sveučilišta</w:t>
      </w:r>
      <w:proofErr w:type="spellEnd"/>
      <w:r w:rsidR="00E14E67" w:rsidRPr="000E700A">
        <w:rPr>
          <w:sz w:val="24"/>
          <w:szCs w:val="24"/>
        </w:rPr>
        <w:t xml:space="preserve">”. </w:t>
      </w:r>
    </w:p>
    <w:p w14:paraId="11C6C7BF" w14:textId="77777777" w:rsidR="00842017" w:rsidRPr="000E700A" w:rsidRDefault="00842017" w:rsidP="00DA0760">
      <w:pPr>
        <w:spacing w:line="360" w:lineRule="auto"/>
        <w:textAlignment w:val="baseline"/>
        <w:rPr>
          <w:sz w:val="24"/>
          <w:szCs w:val="24"/>
        </w:rPr>
      </w:pPr>
    </w:p>
    <w:p w14:paraId="013F41C3" w14:textId="77777777" w:rsidR="006A69F1" w:rsidRPr="000E700A" w:rsidRDefault="006A69F1" w:rsidP="006A69F1">
      <w:pPr>
        <w:spacing w:line="360" w:lineRule="auto"/>
        <w:textAlignment w:val="baseline"/>
        <w:rPr>
          <w:b/>
          <w:iCs/>
          <w:sz w:val="24"/>
          <w:szCs w:val="24"/>
          <w:lang w:val="hr-HR"/>
        </w:rPr>
      </w:pPr>
      <w:r w:rsidRPr="000E700A">
        <w:rPr>
          <w:b/>
          <w:iCs/>
          <w:sz w:val="24"/>
          <w:szCs w:val="24"/>
          <w:lang w:val="hr-HR"/>
        </w:rPr>
        <w:t>Pomoći dane u inozemstvo i unutar općeg proračuna</w:t>
      </w:r>
    </w:p>
    <w:p w14:paraId="3A97898A" w14:textId="77777777" w:rsidR="006A69F1" w:rsidRPr="000E700A" w:rsidRDefault="006A69F1" w:rsidP="00880666">
      <w:pPr>
        <w:spacing w:line="360" w:lineRule="auto"/>
        <w:jc w:val="both"/>
        <w:rPr>
          <w:sz w:val="24"/>
          <w:szCs w:val="24"/>
        </w:rPr>
      </w:pPr>
    </w:p>
    <w:p w14:paraId="61CF92BC" w14:textId="77777777" w:rsidR="00880666" w:rsidRPr="00880666" w:rsidRDefault="00970F23" w:rsidP="00880666">
      <w:pPr>
        <w:spacing w:line="360" w:lineRule="auto"/>
        <w:jc w:val="both"/>
        <w:rPr>
          <w:sz w:val="24"/>
          <w:szCs w:val="24"/>
        </w:rPr>
      </w:pPr>
      <w:proofErr w:type="spellStart"/>
      <w:r w:rsidRPr="000E700A">
        <w:rPr>
          <w:sz w:val="24"/>
          <w:szCs w:val="24"/>
        </w:rPr>
        <w:t>Pomoći</w:t>
      </w:r>
      <w:proofErr w:type="spellEnd"/>
      <w:r w:rsidRPr="000E700A">
        <w:rPr>
          <w:sz w:val="24"/>
          <w:szCs w:val="24"/>
        </w:rPr>
        <w:t xml:space="preserve"> </w:t>
      </w:r>
      <w:proofErr w:type="spellStart"/>
      <w:r w:rsidRPr="000E700A">
        <w:rPr>
          <w:sz w:val="24"/>
          <w:szCs w:val="24"/>
        </w:rPr>
        <w:t>dane</w:t>
      </w:r>
      <w:proofErr w:type="spellEnd"/>
      <w:r w:rsidRPr="000E700A">
        <w:rPr>
          <w:sz w:val="24"/>
          <w:szCs w:val="24"/>
        </w:rPr>
        <w:t xml:space="preserve"> u </w:t>
      </w:r>
      <w:proofErr w:type="spellStart"/>
      <w:r w:rsidRPr="000E700A">
        <w:rPr>
          <w:sz w:val="24"/>
          <w:szCs w:val="24"/>
        </w:rPr>
        <w:t>inozemstvo</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unutar</w:t>
      </w:r>
      <w:proofErr w:type="spellEnd"/>
      <w:r w:rsidRPr="000E700A">
        <w:rPr>
          <w:sz w:val="24"/>
          <w:szCs w:val="24"/>
        </w:rPr>
        <w:t xml:space="preserve"> </w:t>
      </w:r>
      <w:proofErr w:type="spellStart"/>
      <w:r w:rsidRPr="000E700A">
        <w:rPr>
          <w:sz w:val="24"/>
          <w:szCs w:val="24"/>
        </w:rPr>
        <w:t>općeg</w:t>
      </w:r>
      <w:proofErr w:type="spellEnd"/>
      <w:r w:rsidRPr="000E700A">
        <w:rPr>
          <w:sz w:val="24"/>
          <w:szCs w:val="24"/>
        </w:rPr>
        <w:t xml:space="preserve"> </w:t>
      </w:r>
      <w:proofErr w:type="spellStart"/>
      <w:r w:rsidRPr="000E700A">
        <w:rPr>
          <w:sz w:val="24"/>
          <w:szCs w:val="24"/>
        </w:rPr>
        <w:t>proračuna</w:t>
      </w:r>
      <w:proofErr w:type="spellEnd"/>
      <w:r w:rsidRPr="000E700A">
        <w:rPr>
          <w:sz w:val="24"/>
          <w:szCs w:val="24"/>
        </w:rPr>
        <w:t xml:space="preserve"> </w:t>
      </w:r>
      <w:proofErr w:type="spellStart"/>
      <w:r w:rsidRPr="000E700A">
        <w:rPr>
          <w:sz w:val="24"/>
          <w:szCs w:val="24"/>
        </w:rPr>
        <w:t>izvršene</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u 2024. </w:t>
      </w:r>
      <w:proofErr w:type="spellStart"/>
      <w:r w:rsidRPr="000E700A">
        <w:rPr>
          <w:sz w:val="24"/>
          <w:szCs w:val="24"/>
        </w:rPr>
        <w:t>godini</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1.001.878,00 EUR, </w:t>
      </w:r>
      <w:proofErr w:type="spellStart"/>
      <w:r w:rsidRPr="000E700A">
        <w:rPr>
          <w:sz w:val="24"/>
          <w:szCs w:val="24"/>
        </w:rPr>
        <w:t>odnosno</w:t>
      </w:r>
      <w:proofErr w:type="spellEnd"/>
      <w:r w:rsidRPr="000E700A">
        <w:rPr>
          <w:sz w:val="24"/>
          <w:szCs w:val="24"/>
        </w:rPr>
        <w:t xml:space="preserve"> 54,45% </w:t>
      </w:r>
      <w:proofErr w:type="spellStart"/>
      <w:r w:rsidRPr="000E700A">
        <w:rPr>
          <w:sz w:val="24"/>
          <w:szCs w:val="24"/>
        </w:rPr>
        <w:t>planiranih</w:t>
      </w:r>
      <w:proofErr w:type="spellEnd"/>
      <w:r w:rsidRPr="000E700A">
        <w:rPr>
          <w:sz w:val="24"/>
          <w:szCs w:val="24"/>
        </w:rPr>
        <w:t xml:space="preserve"> </w:t>
      </w:r>
      <w:proofErr w:type="spellStart"/>
      <w:r w:rsidRPr="000E700A">
        <w:rPr>
          <w:sz w:val="24"/>
          <w:szCs w:val="24"/>
        </w:rPr>
        <w:t>sredstava</w:t>
      </w:r>
      <w:proofErr w:type="spellEnd"/>
      <w:r w:rsidRPr="000E700A">
        <w:rPr>
          <w:sz w:val="24"/>
          <w:szCs w:val="24"/>
        </w:rPr>
        <w:t xml:space="preserve">.  </w:t>
      </w:r>
      <w:r w:rsidR="00880666" w:rsidRPr="00880666">
        <w:rPr>
          <w:sz w:val="24"/>
          <w:szCs w:val="24"/>
        </w:rPr>
        <w:t>Planirani transferi partnerima temeljem Ugovora o dodjeli bespovratnih sredstava sklopljenim s Europskom komisijom (izvor financiranja 51) su izvršeni, dok će transferi na izvoru 581 biti provedeni u 2025. godini. Naime, Europska komisija je krajem 2024. godine uplatila sredstva za odobrene potraživane troškove na projektu te su transferi provedeni. Tek po odobrenju troškova od strane Europske komisije moguće je potraživati navedene troškove i u okviru NPOO Ugovora te po odobrenju izvršiti transfere, a navedeno nije bilo moguće realizirati u periodu koji je bio preostao do kraja 2024. godine.</w:t>
      </w:r>
    </w:p>
    <w:p w14:paraId="635099B0" w14:textId="6C28B1B1" w:rsidR="00D70BB9" w:rsidRPr="000E700A" w:rsidRDefault="00970F23" w:rsidP="00D70BB9">
      <w:pPr>
        <w:spacing w:line="360" w:lineRule="auto"/>
        <w:jc w:val="both"/>
        <w:rPr>
          <w:sz w:val="24"/>
          <w:szCs w:val="24"/>
        </w:rPr>
      </w:pPr>
      <w:proofErr w:type="spellStart"/>
      <w:r w:rsidRPr="000E700A">
        <w:rPr>
          <w:sz w:val="24"/>
          <w:szCs w:val="24"/>
        </w:rPr>
        <w:t>Najveći</w:t>
      </w:r>
      <w:proofErr w:type="spellEnd"/>
      <w:r w:rsidRPr="000E700A">
        <w:rPr>
          <w:sz w:val="24"/>
          <w:szCs w:val="24"/>
        </w:rPr>
        <w:t xml:space="preserve"> </w:t>
      </w:r>
      <w:proofErr w:type="spellStart"/>
      <w:r w:rsidRPr="000E700A">
        <w:rPr>
          <w:sz w:val="24"/>
          <w:szCs w:val="24"/>
        </w:rPr>
        <w:t>iznos</w:t>
      </w:r>
      <w:proofErr w:type="spellEnd"/>
      <w:r w:rsidRPr="000E700A">
        <w:rPr>
          <w:sz w:val="24"/>
          <w:szCs w:val="24"/>
        </w:rPr>
        <w:t xml:space="preserve"> </w:t>
      </w:r>
      <w:proofErr w:type="spellStart"/>
      <w:r w:rsidRPr="000E700A">
        <w:rPr>
          <w:sz w:val="24"/>
          <w:szCs w:val="24"/>
        </w:rPr>
        <w:t>rashoda</w:t>
      </w:r>
      <w:proofErr w:type="spellEnd"/>
      <w:r w:rsidRPr="000E700A">
        <w:rPr>
          <w:sz w:val="24"/>
          <w:szCs w:val="24"/>
        </w:rPr>
        <w:t xml:space="preserve"> u </w:t>
      </w:r>
      <w:proofErr w:type="spellStart"/>
      <w:r w:rsidRPr="000E700A">
        <w:rPr>
          <w:sz w:val="24"/>
          <w:szCs w:val="24"/>
        </w:rPr>
        <w:t>ovoj</w:t>
      </w:r>
      <w:proofErr w:type="spellEnd"/>
      <w:r w:rsidRPr="000E700A">
        <w:rPr>
          <w:sz w:val="24"/>
          <w:szCs w:val="24"/>
        </w:rPr>
        <w:t xml:space="preserve"> </w:t>
      </w:r>
      <w:proofErr w:type="spellStart"/>
      <w:r w:rsidRPr="000E700A">
        <w:rPr>
          <w:sz w:val="24"/>
          <w:szCs w:val="24"/>
        </w:rPr>
        <w:t>skupini</w:t>
      </w:r>
      <w:proofErr w:type="spellEnd"/>
      <w:r w:rsidRPr="000E700A">
        <w:rPr>
          <w:sz w:val="24"/>
          <w:szCs w:val="24"/>
        </w:rPr>
        <w:t xml:space="preserve"> </w:t>
      </w:r>
      <w:proofErr w:type="spellStart"/>
      <w:r w:rsidRPr="000E700A">
        <w:rPr>
          <w:sz w:val="24"/>
          <w:szCs w:val="24"/>
        </w:rPr>
        <w:t>odnosi</w:t>
      </w:r>
      <w:proofErr w:type="spellEnd"/>
      <w:r w:rsidRPr="000E700A">
        <w:rPr>
          <w:sz w:val="24"/>
          <w:szCs w:val="24"/>
        </w:rPr>
        <w:t xml:space="preserve"> se </w:t>
      </w:r>
      <w:proofErr w:type="spellStart"/>
      <w:r w:rsidRPr="000E700A">
        <w:rPr>
          <w:sz w:val="24"/>
          <w:szCs w:val="24"/>
        </w:rPr>
        <w:t>na</w:t>
      </w:r>
      <w:proofErr w:type="spellEnd"/>
      <w:r w:rsidR="002973FD" w:rsidRPr="000E700A">
        <w:rPr>
          <w:sz w:val="24"/>
          <w:szCs w:val="24"/>
        </w:rPr>
        <w:t xml:space="preserve"> </w:t>
      </w:r>
      <w:r w:rsidRPr="000E700A">
        <w:rPr>
          <w:sz w:val="24"/>
          <w:szCs w:val="24"/>
        </w:rPr>
        <w:t>transfer</w:t>
      </w:r>
      <w:r w:rsidR="002973FD" w:rsidRPr="000E700A">
        <w:rPr>
          <w:sz w:val="24"/>
          <w:szCs w:val="24"/>
        </w:rPr>
        <w:t xml:space="preserve"> </w:t>
      </w:r>
      <w:proofErr w:type="spellStart"/>
      <w:r w:rsidR="002973FD" w:rsidRPr="000E700A">
        <w:rPr>
          <w:sz w:val="24"/>
          <w:szCs w:val="24"/>
        </w:rPr>
        <w:t>partnerima</w:t>
      </w:r>
      <w:proofErr w:type="spellEnd"/>
      <w:r w:rsidR="002973FD" w:rsidRPr="000E700A">
        <w:rPr>
          <w:sz w:val="24"/>
          <w:szCs w:val="24"/>
        </w:rPr>
        <w:t xml:space="preserve"> za </w:t>
      </w:r>
      <w:proofErr w:type="spellStart"/>
      <w:r w:rsidR="002973FD" w:rsidRPr="000E700A">
        <w:rPr>
          <w:sz w:val="24"/>
          <w:szCs w:val="24"/>
        </w:rPr>
        <w:t>provedbu</w:t>
      </w:r>
      <w:proofErr w:type="spellEnd"/>
      <w:r w:rsidR="002973FD" w:rsidRPr="000E700A">
        <w:rPr>
          <w:sz w:val="24"/>
          <w:szCs w:val="24"/>
        </w:rPr>
        <w:t xml:space="preserve"> </w:t>
      </w:r>
      <w:proofErr w:type="spellStart"/>
      <w:r w:rsidR="002973FD" w:rsidRPr="000E700A">
        <w:rPr>
          <w:sz w:val="24"/>
          <w:szCs w:val="24"/>
        </w:rPr>
        <w:t>nacionalnog</w:t>
      </w:r>
      <w:proofErr w:type="spellEnd"/>
      <w:r w:rsidR="002973FD" w:rsidRPr="000E700A">
        <w:rPr>
          <w:sz w:val="24"/>
          <w:szCs w:val="24"/>
        </w:rPr>
        <w:t xml:space="preserve"> </w:t>
      </w:r>
      <w:proofErr w:type="spellStart"/>
      <w:r w:rsidR="002973FD" w:rsidRPr="000E700A">
        <w:rPr>
          <w:sz w:val="24"/>
          <w:szCs w:val="24"/>
        </w:rPr>
        <w:t>projekta</w:t>
      </w:r>
      <w:proofErr w:type="spellEnd"/>
      <w:r w:rsidR="002973FD" w:rsidRPr="000E700A">
        <w:rPr>
          <w:sz w:val="24"/>
          <w:szCs w:val="24"/>
        </w:rPr>
        <w:t xml:space="preserve"> Hrvatska </w:t>
      </w:r>
      <w:proofErr w:type="spellStart"/>
      <w:r w:rsidR="002973FD" w:rsidRPr="000E700A">
        <w:rPr>
          <w:sz w:val="24"/>
          <w:szCs w:val="24"/>
        </w:rPr>
        <w:t>kvantna</w:t>
      </w:r>
      <w:proofErr w:type="spellEnd"/>
      <w:r w:rsidR="002973FD" w:rsidRPr="000E700A">
        <w:rPr>
          <w:sz w:val="24"/>
          <w:szCs w:val="24"/>
        </w:rPr>
        <w:t xml:space="preserve"> </w:t>
      </w:r>
      <w:proofErr w:type="spellStart"/>
      <w:r w:rsidR="002973FD" w:rsidRPr="000E700A">
        <w:rPr>
          <w:sz w:val="24"/>
          <w:szCs w:val="24"/>
        </w:rPr>
        <w:t>komunikacijska</w:t>
      </w:r>
      <w:proofErr w:type="spellEnd"/>
      <w:r w:rsidR="002973FD" w:rsidRPr="000E700A">
        <w:rPr>
          <w:sz w:val="24"/>
          <w:szCs w:val="24"/>
        </w:rPr>
        <w:t xml:space="preserve"> </w:t>
      </w:r>
      <w:proofErr w:type="spellStart"/>
      <w:r w:rsidR="002973FD" w:rsidRPr="000E700A">
        <w:rPr>
          <w:sz w:val="24"/>
          <w:szCs w:val="24"/>
        </w:rPr>
        <w:t>infrastruktura</w:t>
      </w:r>
      <w:proofErr w:type="spellEnd"/>
      <w:r w:rsidR="002973FD" w:rsidRPr="000E700A">
        <w:rPr>
          <w:sz w:val="24"/>
          <w:szCs w:val="24"/>
        </w:rPr>
        <w:t xml:space="preserve"> – </w:t>
      </w:r>
      <w:proofErr w:type="spellStart"/>
      <w:r w:rsidR="002973FD" w:rsidRPr="000E700A">
        <w:rPr>
          <w:sz w:val="24"/>
          <w:szCs w:val="24"/>
        </w:rPr>
        <w:t>CroQCI</w:t>
      </w:r>
      <w:proofErr w:type="spellEnd"/>
      <w:r w:rsidR="002973FD" w:rsidRPr="000E700A">
        <w:rPr>
          <w:sz w:val="24"/>
          <w:szCs w:val="24"/>
        </w:rPr>
        <w:t xml:space="preserve">, a </w:t>
      </w:r>
      <w:proofErr w:type="spellStart"/>
      <w:r w:rsidR="002973FD" w:rsidRPr="000E700A">
        <w:rPr>
          <w:sz w:val="24"/>
          <w:szCs w:val="24"/>
        </w:rPr>
        <w:t>manji</w:t>
      </w:r>
      <w:proofErr w:type="spellEnd"/>
      <w:r w:rsidR="002973FD" w:rsidRPr="000E700A">
        <w:rPr>
          <w:sz w:val="24"/>
          <w:szCs w:val="24"/>
        </w:rPr>
        <w:t xml:space="preserve"> </w:t>
      </w:r>
      <w:proofErr w:type="spellStart"/>
      <w:r w:rsidR="002973FD" w:rsidRPr="000E700A">
        <w:rPr>
          <w:sz w:val="24"/>
          <w:szCs w:val="24"/>
        </w:rPr>
        <w:t>dio</w:t>
      </w:r>
      <w:proofErr w:type="spellEnd"/>
      <w:r w:rsidR="002973FD" w:rsidRPr="000E700A">
        <w:rPr>
          <w:sz w:val="24"/>
          <w:szCs w:val="24"/>
        </w:rPr>
        <w:t xml:space="preserve"> </w:t>
      </w:r>
      <w:proofErr w:type="spellStart"/>
      <w:r w:rsidR="002973FD" w:rsidRPr="000E700A">
        <w:rPr>
          <w:sz w:val="24"/>
          <w:szCs w:val="24"/>
        </w:rPr>
        <w:t>na</w:t>
      </w:r>
      <w:proofErr w:type="spellEnd"/>
      <w:r w:rsidR="002973FD" w:rsidRPr="000E700A">
        <w:rPr>
          <w:sz w:val="24"/>
          <w:szCs w:val="24"/>
        </w:rPr>
        <w:t xml:space="preserve"> </w:t>
      </w:r>
      <w:proofErr w:type="spellStart"/>
      <w:r w:rsidR="002973FD" w:rsidRPr="000E700A">
        <w:rPr>
          <w:sz w:val="24"/>
          <w:szCs w:val="24"/>
        </w:rPr>
        <w:t>završene</w:t>
      </w:r>
      <w:proofErr w:type="spellEnd"/>
      <w:r w:rsidR="002973FD" w:rsidRPr="000E700A">
        <w:rPr>
          <w:sz w:val="24"/>
          <w:szCs w:val="24"/>
        </w:rPr>
        <w:t xml:space="preserve"> </w:t>
      </w:r>
      <w:proofErr w:type="spellStart"/>
      <w:r w:rsidR="002973FD" w:rsidRPr="000E700A">
        <w:rPr>
          <w:sz w:val="24"/>
          <w:szCs w:val="24"/>
        </w:rPr>
        <w:t>transfere</w:t>
      </w:r>
      <w:proofErr w:type="spellEnd"/>
      <w:r w:rsidR="002973FD" w:rsidRPr="000E700A">
        <w:rPr>
          <w:sz w:val="24"/>
          <w:szCs w:val="24"/>
        </w:rPr>
        <w:t xml:space="preserve"> </w:t>
      </w:r>
      <w:proofErr w:type="spellStart"/>
      <w:r w:rsidR="002973FD" w:rsidRPr="000E700A">
        <w:rPr>
          <w:sz w:val="24"/>
          <w:szCs w:val="24"/>
        </w:rPr>
        <w:t>partnerima</w:t>
      </w:r>
      <w:proofErr w:type="spellEnd"/>
      <w:r w:rsidR="002973FD" w:rsidRPr="000E700A">
        <w:rPr>
          <w:sz w:val="24"/>
          <w:szCs w:val="24"/>
        </w:rPr>
        <w:t xml:space="preserve"> </w:t>
      </w:r>
      <w:proofErr w:type="spellStart"/>
      <w:r w:rsidR="002973FD" w:rsidRPr="000E700A">
        <w:rPr>
          <w:sz w:val="24"/>
          <w:szCs w:val="24"/>
        </w:rPr>
        <w:t>na</w:t>
      </w:r>
      <w:proofErr w:type="spellEnd"/>
      <w:r w:rsidR="002973FD" w:rsidRPr="000E700A">
        <w:rPr>
          <w:sz w:val="24"/>
          <w:szCs w:val="24"/>
        </w:rPr>
        <w:t xml:space="preserve"> </w:t>
      </w:r>
      <w:proofErr w:type="spellStart"/>
      <w:r w:rsidR="002973FD" w:rsidRPr="000E700A">
        <w:rPr>
          <w:sz w:val="24"/>
          <w:szCs w:val="24"/>
        </w:rPr>
        <w:t>projektu</w:t>
      </w:r>
      <w:proofErr w:type="spellEnd"/>
      <w:r w:rsidR="002973FD" w:rsidRPr="000E700A">
        <w:rPr>
          <w:sz w:val="24"/>
          <w:szCs w:val="24"/>
        </w:rPr>
        <w:t xml:space="preserve"> </w:t>
      </w:r>
      <w:r w:rsidR="00D70BB9" w:rsidRPr="000E700A">
        <w:rPr>
          <w:sz w:val="24"/>
          <w:szCs w:val="24"/>
        </w:rPr>
        <w:t>“</w:t>
      </w:r>
      <w:r w:rsidR="002973FD" w:rsidRPr="000E700A">
        <w:rPr>
          <w:sz w:val="24"/>
          <w:szCs w:val="24"/>
        </w:rPr>
        <w:t>ATTEND</w:t>
      </w:r>
      <w:r w:rsidR="00D70BB9" w:rsidRPr="000E700A">
        <w:rPr>
          <w:sz w:val="24"/>
          <w:szCs w:val="24"/>
        </w:rPr>
        <w:t xml:space="preserve"> - </w:t>
      </w:r>
      <w:proofErr w:type="spellStart"/>
      <w:r w:rsidR="00D70BB9" w:rsidRPr="000E700A">
        <w:rPr>
          <w:sz w:val="24"/>
          <w:szCs w:val="24"/>
        </w:rPr>
        <w:t>Unaprjeđenje</w:t>
      </w:r>
      <w:proofErr w:type="spellEnd"/>
      <w:r w:rsidR="00D70BB9" w:rsidRPr="000E700A">
        <w:rPr>
          <w:sz w:val="24"/>
          <w:szCs w:val="24"/>
        </w:rPr>
        <w:t xml:space="preserve"> </w:t>
      </w:r>
      <w:proofErr w:type="spellStart"/>
      <w:r w:rsidR="00D70BB9" w:rsidRPr="000E700A">
        <w:rPr>
          <w:sz w:val="24"/>
          <w:szCs w:val="24"/>
        </w:rPr>
        <w:t>jednakih</w:t>
      </w:r>
      <w:proofErr w:type="spellEnd"/>
      <w:r w:rsidR="00D70BB9" w:rsidRPr="000E700A">
        <w:rPr>
          <w:sz w:val="24"/>
          <w:szCs w:val="24"/>
        </w:rPr>
        <w:t xml:space="preserve"> </w:t>
      </w:r>
      <w:proofErr w:type="spellStart"/>
      <w:r w:rsidR="00D70BB9" w:rsidRPr="000E700A">
        <w:rPr>
          <w:sz w:val="24"/>
          <w:szCs w:val="24"/>
        </w:rPr>
        <w:t>mogućnosti</w:t>
      </w:r>
      <w:proofErr w:type="spellEnd"/>
      <w:r w:rsidR="00D70BB9" w:rsidRPr="000E700A">
        <w:rPr>
          <w:sz w:val="24"/>
          <w:szCs w:val="24"/>
        </w:rPr>
        <w:t xml:space="preserve"> u </w:t>
      </w:r>
      <w:proofErr w:type="spellStart"/>
      <w:r w:rsidR="00D70BB9" w:rsidRPr="000E700A">
        <w:rPr>
          <w:sz w:val="24"/>
          <w:szCs w:val="24"/>
        </w:rPr>
        <w:t>obrazovanju</w:t>
      </w:r>
      <w:proofErr w:type="spellEnd"/>
      <w:r w:rsidR="00D70BB9" w:rsidRPr="000E700A">
        <w:rPr>
          <w:sz w:val="24"/>
          <w:szCs w:val="24"/>
        </w:rPr>
        <w:t xml:space="preserve"> za </w:t>
      </w:r>
      <w:proofErr w:type="spellStart"/>
      <w:r w:rsidR="00D70BB9" w:rsidRPr="000E700A">
        <w:rPr>
          <w:sz w:val="24"/>
          <w:szCs w:val="24"/>
        </w:rPr>
        <w:t>učenike</w:t>
      </w:r>
      <w:proofErr w:type="spellEnd"/>
      <w:r w:rsidR="00D70BB9" w:rsidRPr="000E700A">
        <w:rPr>
          <w:sz w:val="24"/>
          <w:szCs w:val="24"/>
        </w:rPr>
        <w:t xml:space="preserve"> s </w:t>
      </w:r>
      <w:proofErr w:type="spellStart"/>
      <w:r w:rsidR="00D70BB9" w:rsidRPr="000E700A">
        <w:rPr>
          <w:sz w:val="24"/>
          <w:szCs w:val="24"/>
        </w:rPr>
        <w:t>teškoćama</w:t>
      </w:r>
      <w:proofErr w:type="spellEnd"/>
      <w:r w:rsidR="00D70BB9" w:rsidRPr="000E700A">
        <w:rPr>
          <w:sz w:val="24"/>
          <w:szCs w:val="24"/>
        </w:rPr>
        <w:t xml:space="preserve"> u </w:t>
      </w:r>
      <w:proofErr w:type="spellStart"/>
      <w:r w:rsidR="00D70BB9" w:rsidRPr="000E700A">
        <w:rPr>
          <w:sz w:val="24"/>
          <w:szCs w:val="24"/>
        </w:rPr>
        <w:t>razvoju</w:t>
      </w:r>
      <w:proofErr w:type="spellEnd"/>
      <w:r w:rsidR="00D70BB9" w:rsidRPr="000E700A">
        <w:rPr>
          <w:sz w:val="24"/>
          <w:szCs w:val="24"/>
        </w:rPr>
        <w:t>”.</w:t>
      </w:r>
    </w:p>
    <w:p w14:paraId="37B96F88" w14:textId="77777777" w:rsidR="00842017" w:rsidRPr="000E700A" w:rsidRDefault="00842017" w:rsidP="00842017">
      <w:pPr>
        <w:spacing w:line="360" w:lineRule="auto"/>
        <w:jc w:val="both"/>
        <w:rPr>
          <w:sz w:val="24"/>
          <w:szCs w:val="24"/>
        </w:rPr>
      </w:pPr>
    </w:p>
    <w:p w14:paraId="54639B94" w14:textId="77777777" w:rsidR="00C919B8" w:rsidRPr="000E700A" w:rsidRDefault="00C919B8" w:rsidP="00C919B8">
      <w:pPr>
        <w:spacing w:line="360" w:lineRule="auto"/>
        <w:textAlignment w:val="baseline"/>
        <w:rPr>
          <w:b/>
          <w:iCs/>
          <w:sz w:val="24"/>
          <w:szCs w:val="24"/>
          <w:lang w:val="hr-HR"/>
        </w:rPr>
      </w:pPr>
      <w:r w:rsidRPr="000E700A">
        <w:rPr>
          <w:b/>
          <w:iCs/>
          <w:sz w:val="24"/>
          <w:szCs w:val="24"/>
          <w:lang w:val="hr-HR"/>
        </w:rPr>
        <w:t>Rashodi za donacije, kazne, naknade šteta i kapitalne pomoći</w:t>
      </w:r>
    </w:p>
    <w:p w14:paraId="56298F12" w14:textId="77777777" w:rsidR="00C919B8" w:rsidRPr="000E700A" w:rsidRDefault="00C919B8" w:rsidP="007E0A82">
      <w:pPr>
        <w:spacing w:line="360" w:lineRule="auto"/>
        <w:jc w:val="both"/>
        <w:rPr>
          <w:b/>
          <w:bCs/>
          <w:sz w:val="24"/>
          <w:szCs w:val="24"/>
          <w:u w:val="single"/>
        </w:rPr>
      </w:pPr>
    </w:p>
    <w:p w14:paraId="231F5D19" w14:textId="171A4C38" w:rsidR="007E0A82" w:rsidRPr="000E700A" w:rsidRDefault="002973FD" w:rsidP="007E0A82">
      <w:pPr>
        <w:spacing w:line="360" w:lineRule="auto"/>
        <w:jc w:val="both"/>
        <w:rPr>
          <w:sz w:val="24"/>
          <w:szCs w:val="24"/>
        </w:rPr>
      </w:pPr>
      <w:r w:rsidRPr="000E700A">
        <w:rPr>
          <w:sz w:val="24"/>
          <w:szCs w:val="24"/>
        </w:rPr>
        <w:t>Na</w:t>
      </w:r>
      <w:r w:rsidR="007E0A82" w:rsidRPr="000E700A">
        <w:rPr>
          <w:sz w:val="24"/>
          <w:szCs w:val="24"/>
        </w:rPr>
        <w:t xml:space="preserve"> </w:t>
      </w:r>
      <w:proofErr w:type="spellStart"/>
      <w:r w:rsidR="007E0A82" w:rsidRPr="000E700A">
        <w:rPr>
          <w:sz w:val="24"/>
          <w:szCs w:val="24"/>
        </w:rPr>
        <w:t>stavci</w:t>
      </w:r>
      <w:proofErr w:type="spellEnd"/>
      <w:r w:rsidR="007E0A82" w:rsidRPr="000E700A">
        <w:rPr>
          <w:sz w:val="24"/>
          <w:szCs w:val="24"/>
        </w:rPr>
        <w:t xml:space="preserve"> </w:t>
      </w:r>
      <w:proofErr w:type="spellStart"/>
      <w:r w:rsidRPr="000E700A">
        <w:rPr>
          <w:sz w:val="24"/>
          <w:szCs w:val="24"/>
        </w:rPr>
        <w:t>tekuć</w:t>
      </w:r>
      <w:r w:rsidR="00844835" w:rsidRPr="000E700A">
        <w:rPr>
          <w:sz w:val="24"/>
          <w:szCs w:val="24"/>
        </w:rPr>
        <w:t>ih</w:t>
      </w:r>
      <w:proofErr w:type="spellEnd"/>
      <w:r w:rsidRPr="000E700A">
        <w:rPr>
          <w:sz w:val="24"/>
          <w:szCs w:val="24"/>
        </w:rPr>
        <w:t xml:space="preserve"> </w:t>
      </w:r>
      <w:proofErr w:type="spellStart"/>
      <w:r w:rsidRPr="000E700A">
        <w:rPr>
          <w:sz w:val="24"/>
          <w:szCs w:val="24"/>
        </w:rPr>
        <w:t>donacij</w:t>
      </w:r>
      <w:r w:rsidR="00844835" w:rsidRPr="000E700A">
        <w:rPr>
          <w:sz w:val="24"/>
          <w:szCs w:val="24"/>
        </w:rPr>
        <w:t>a</w:t>
      </w:r>
      <w:proofErr w:type="spellEnd"/>
      <w:r w:rsidRPr="000E700A">
        <w:rPr>
          <w:sz w:val="24"/>
          <w:szCs w:val="24"/>
        </w:rPr>
        <w:t xml:space="preserve"> </w:t>
      </w:r>
      <w:proofErr w:type="spellStart"/>
      <w:r w:rsidRPr="000E700A">
        <w:rPr>
          <w:sz w:val="24"/>
          <w:szCs w:val="24"/>
        </w:rPr>
        <w:t>iz</w:t>
      </w:r>
      <w:proofErr w:type="spellEnd"/>
      <w:r w:rsidRPr="000E700A">
        <w:rPr>
          <w:sz w:val="24"/>
          <w:szCs w:val="24"/>
        </w:rPr>
        <w:t xml:space="preserve"> EU </w:t>
      </w:r>
      <w:proofErr w:type="spellStart"/>
      <w:r w:rsidRPr="000E700A">
        <w:rPr>
          <w:sz w:val="24"/>
          <w:szCs w:val="24"/>
        </w:rPr>
        <w:t>sredstava</w:t>
      </w:r>
      <w:proofErr w:type="spellEnd"/>
      <w:r w:rsidRPr="000E700A">
        <w:rPr>
          <w:sz w:val="24"/>
          <w:szCs w:val="24"/>
        </w:rPr>
        <w:t xml:space="preserve"> </w:t>
      </w:r>
      <w:r w:rsidR="007E0A82" w:rsidRPr="000E700A">
        <w:rPr>
          <w:sz w:val="24"/>
          <w:szCs w:val="24"/>
        </w:rPr>
        <w:t xml:space="preserve">je </w:t>
      </w:r>
      <w:proofErr w:type="spellStart"/>
      <w:r w:rsidR="007E0A82" w:rsidRPr="000E700A">
        <w:rPr>
          <w:sz w:val="24"/>
          <w:szCs w:val="24"/>
        </w:rPr>
        <w:t>ostvaren</w:t>
      </w:r>
      <w:proofErr w:type="spellEnd"/>
      <w:r w:rsidR="007E0A82" w:rsidRPr="000E700A">
        <w:rPr>
          <w:sz w:val="24"/>
          <w:szCs w:val="24"/>
        </w:rPr>
        <w:t xml:space="preserve"> </w:t>
      </w:r>
      <w:proofErr w:type="spellStart"/>
      <w:r w:rsidR="007E0A82" w:rsidRPr="000E700A">
        <w:rPr>
          <w:sz w:val="24"/>
          <w:szCs w:val="24"/>
        </w:rPr>
        <w:t>rashod</w:t>
      </w:r>
      <w:proofErr w:type="spellEnd"/>
      <w:r w:rsidR="007E0A82" w:rsidRPr="000E700A">
        <w:rPr>
          <w:sz w:val="24"/>
          <w:szCs w:val="24"/>
        </w:rPr>
        <w:t xml:space="preserve"> u </w:t>
      </w:r>
      <w:proofErr w:type="spellStart"/>
      <w:r w:rsidR="007E0A82" w:rsidRPr="000E700A">
        <w:rPr>
          <w:sz w:val="24"/>
          <w:szCs w:val="24"/>
        </w:rPr>
        <w:t>nominalnom</w:t>
      </w:r>
      <w:proofErr w:type="spellEnd"/>
      <w:r w:rsidR="007E0A82" w:rsidRPr="000E700A">
        <w:rPr>
          <w:sz w:val="24"/>
          <w:szCs w:val="24"/>
        </w:rPr>
        <w:t xml:space="preserve"> </w:t>
      </w:r>
      <w:proofErr w:type="spellStart"/>
      <w:r w:rsidR="007E0A82" w:rsidRPr="000E700A">
        <w:rPr>
          <w:sz w:val="24"/>
          <w:szCs w:val="24"/>
        </w:rPr>
        <w:t>iznosu</w:t>
      </w:r>
      <w:proofErr w:type="spellEnd"/>
      <w:r w:rsidR="007E0A82" w:rsidRPr="000E700A">
        <w:rPr>
          <w:sz w:val="24"/>
          <w:szCs w:val="24"/>
        </w:rPr>
        <w:t xml:space="preserve"> od </w:t>
      </w:r>
      <w:r w:rsidRPr="000E700A">
        <w:rPr>
          <w:sz w:val="24"/>
          <w:szCs w:val="24"/>
        </w:rPr>
        <w:t>331.174,78 EUR</w:t>
      </w:r>
      <w:r w:rsidR="007E0A82" w:rsidRPr="000E700A">
        <w:rPr>
          <w:sz w:val="24"/>
          <w:szCs w:val="24"/>
        </w:rPr>
        <w:t xml:space="preserve"> </w:t>
      </w:r>
      <w:proofErr w:type="spellStart"/>
      <w:r w:rsidR="007E0A82" w:rsidRPr="000E700A">
        <w:rPr>
          <w:sz w:val="24"/>
          <w:szCs w:val="24"/>
        </w:rPr>
        <w:t>što</w:t>
      </w:r>
      <w:proofErr w:type="spellEnd"/>
      <w:r w:rsidR="007E0A82" w:rsidRPr="000E700A">
        <w:rPr>
          <w:sz w:val="24"/>
          <w:szCs w:val="24"/>
        </w:rPr>
        <w:t xml:space="preserve"> je </w:t>
      </w:r>
      <w:proofErr w:type="spellStart"/>
      <w:r w:rsidR="007E0A82" w:rsidRPr="000E700A">
        <w:rPr>
          <w:sz w:val="24"/>
          <w:szCs w:val="24"/>
        </w:rPr>
        <w:t>na</w:t>
      </w:r>
      <w:proofErr w:type="spellEnd"/>
      <w:r w:rsidR="007E0A82" w:rsidRPr="000E700A">
        <w:rPr>
          <w:sz w:val="24"/>
          <w:szCs w:val="24"/>
        </w:rPr>
        <w:t xml:space="preserve"> </w:t>
      </w:r>
      <w:proofErr w:type="spellStart"/>
      <w:r w:rsidR="007E0A82" w:rsidRPr="000E700A">
        <w:rPr>
          <w:sz w:val="24"/>
          <w:szCs w:val="24"/>
        </w:rPr>
        <w:t>razini</w:t>
      </w:r>
      <w:proofErr w:type="spellEnd"/>
      <w:r w:rsidR="007E0A82" w:rsidRPr="000E700A">
        <w:rPr>
          <w:sz w:val="24"/>
          <w:szCs w:val="24"/>
        </w:rPr>
        <w:t xml:space="preserve"> </w:t>
      </w:r>
      <w:r w:rsidRPr="000E700A">
        <w:rPr>
          <w:sz w:val="24"/>
          <w:szCs w:val="24"/>
        </w:rPr>
        <w:t>68,24</w:t>
      </w:r>
      <w:r w:rsidR="007E0A82" w:rsidRPr="000E700A">
        <w:rPr>
          <w:sz w:val="24"/>
          <w:szCs w:val="24"/>
        </w:rPr>
        <w:t xml:space="preserve">% </w:t>
      </w:r>
      <w:proofErr w:type="spellStart"/>
      <w:r w:rsidR="007E0A82" w:rsidRPr="000E700A">
        <w:rPr>
          <w:sz w:val="24"/>
          <w:szCs w:val="24"/>
        </w:rPr>
        <w:t>financijskog</w:t>
      </w:r>
      <w:proofErr w:type="spellEnd"/>
      <w:r w:rsidR="007E0A82" w:rsidRPr="000E700A">
        <w:rPr>
          <w:sz w:val="24"/>
          <w:szCs w:val="24"/>
        </w:rPr>
        <w:t xml:space="preserve"> plana. </w:t>
      </w:r>
      <w:proofErr w:type="spellStart"/>
      <w:r w:rsidR="007E0A82" w:rsidRPr="000E700A">
        <w:rPr>
          <w:sz w:val="24"/>
          <w:szCs w:val="24"/>
        </w:rPr>
        <w:t>Navedeno</w:t>
      </w:r>
      <w:proofErr w:type="spellEnd"/>
      <w:r w:rsidR="007E0A82" w:rsidRPr="000E700A">
        <w:rPr>
          <w:sz w:val="24"/>
          <w:szCs w:val="24"/>
        </w:rPr>
        <w:t xml:space="preserve"> </w:t>
      </w:r>
      <w:proofErr w:type="spellStart"/>
      <w:r w:rsidR="007E0A82" w:rsidRPr="000E700A">
        <w:rPr>
          <w:sz w:val="24"/>
          <w:szCs w:val="24"/>
        </w:rPr>
        <w:t>predstavlja</w:t>
      </w:r>
      <w:proofErr w:type="spellEnd"/>
      <w:r w:rsidRPr="000E700A">
        <w:rPr>
          <w:sz w:val="24"/>
          <w:szCs w:val="24"/>
        </w:rPr>
        <w:t xml:space="preserve"> </w:t>
      </w:r>
      <w:r w:rsidR="007E0A82" w:rsidRPr="000E700A">
        <w:rPr>
          <w:sz w:val="24"/>
          <w:szCs w:val="24"/>
        </w:rPr>
        <w:t xml:space="preserve">transfer </w:t>
      </w:r>
      <w:proofErr w:type="spellStart"/>
      <w:r w:rsidR="007E0A82" w:rsidRPr="000E700A">
        <w:rPr>
          <w:sz w:val="24"/>
          <w:szCs w:val="24"/>
        </w:rPr>
        <w:t>partner</w:t>
      </w:r>
      <w:r w:rsidRPr="000E700A">
        <w:rPr>
          <w:sz w:val="24"/>
          <w:szCs w:val="24"/>
        </w:rPr>
        <w:t>u</w:t>
      </w:r>
      <w:proofErr w:type="spellEnd"/>
      <w:r w:rsidR="007E0A82" w:rsidRPr="000E700A">
        <w:rPr>
          <w:sz w:val="24"/>
          <w:szCs w:val="24"/>
        </w:rPr>
        <w:t xml:space="preserve"> </w:t>
      </w:r>
      <w:proofErr w:type="spellStart"/>
      <w:r w:rsidR="00D70BB9" w:rsidRPr="000E700A">
        <w:rPr>
          <w:sz w:val="24"/>
          <w:szCs w:val="24"/>
        </w:rPr>
        <w:t>Odašiljači</w:t>
      </w:r>
      <w:proofErr w:type="spellEnd"/>
      <w:r w:rsidR="00D70BB9" w:rsidRPr="000E700A">
        <w:rPr>
          <w:sz w:val="24"/>
          <w:szCs w:val="24"/>
        </w:rPr>
        <w:t xml:space="preserve"> i </w:t>
      </w:r>
      <w:proofErr w:type="spellStart"/>
      <w:r w:rsidR="00D70BB9" w:rsidRPr="000E700A">
        <w:rPr>
          <w:sz w:val="24"/>
          <w:szCs w:val="24"/>
        </w:rPr>
        <w:t>veze</w:t>
      </w:r>
      <w:proofErr w:type="spellEnd"/>
      <w:r w:rsidR="00D70BB9" w:rsidRPr="000E700A">
        <w:rPr>
          <w:sz w:val="24"/>
          <w:szCs w:val="24"/>
        </w:rPr>
        <w:t xml:space="preserve"> d.o.o. u </w:t>
      </w:r>
      <w:proofErr w:type="spellStart"/>
      <w:r w:rsidR="00D70BB9" w:rsidRPr="000E700A">
        <w:rPr>
          <w:sz w:val="24"/>
          <w:szCs w:val="24"/>
        </w:rPr>
        <w:t>iznosu</w:t>
      </w:r>
      <w:proofErr w:type="spellEnd"/>
      <w:r w:rsidR="00D70BB9" w:rsidRPr="000E700A">
        <w:rPr>
          <w:sz w:val="24"/>
          <w:szCs w:val="24"/>
        </w:rPr>
        <w:t xml:space="preserve"> od 201.718,41 EUR </w:t>
      </w:r>
      <w:r w:rsidR="007E0A82" w:rsidRPr="000E700A">
        <w:rPr>
          <w:sz w:val="24"/>
          <w:szCs w:val="24"/>
        </w:rPr>
        <w:t xml:space="preserve">za </w:t>
      </w:r>
      <w:proofErr w:type="spellStart"/>
      <w:r w:rsidR="007E0A82" w:rsidRPr="000E700A">
        <w:rPr>
          <w:sz w:val="24"/>
          <w:szCs w:val="24"/>
        </w:rPr>
        <w:t>provedbu</w:t>
      </w:r>
      <w:proofErr w:type="spellEnd"/>
      <w:r w:rsidR="007E0A82" w:rsidRPr="000E700A">
        <w:rPr>
          <w:sz w:val="24"/>
          <w:szCs w:val="24"/>
        </w:rPr>
        <w:t xml:space="preserve"> </w:t>
      </w:r>
      <w:proofErr w:type="spellStart"/>
      <w:r w:rsidR="007E0A82" w:rsidRPr="000E700A">
        <w:rPr>
          <w:sz w:val="24"/>
          <w:szCs w:val="24"/>
        </w:rPr>
        <w:t>nacionalnog</w:t>
      </w:r>
      <w:proofErr w:type="spellEnd"/>
      <w:r w:rsidR="007E0A82" w:rsidRPr="000E700A">
        <w:rPr>
          <w:sz w:val="24"/>
          <w:szCs w:val="24"/>
        </w:rPr>
        <w:t xml:space="preserve"> </w:t>
      </w:r>
      <w:proofErr w:type="spellStart"/>
      <w:r w:rsidR="007E0A82" w:rsidRPr="000E700A">
        <w:rPr>
          <w:sz w:val="24"/>
          <w:szCs w:val="24"/>
        </w:rPr>
        <w:t>projekta</w:t>
      </w:r>
      <w:proofErr w:type="spellEnd"/>
      <w:r w:rsidR="007E0A82" w:rsidRPr="000E700A">
        <w:rPr>
          <w:sz w:val="24"/>
          <w:szCs w:val="24"/>
        </w:rPr>
        <w:t xml:space="preserve"> Hrvatska </w:t>
      </w:r>
      <w:proofErr w:type="spellStart"/>
      <w:r w:rsidR="007E0A82" w:rsidRPr="000E700A">
        <w:rPr>
          <w:sz w:val="24"/>
          <w:szCs w:val="24"/>
        </w:rPr>
        <w:t>kvantna</w:t>
      </w:r>
      <w:proofErr w:type="spellEnd"/>
      <w:r w:rsidR="007E0A82" w:rsidRPr="000E700A">
        <w:rPr>
          <w:sz w:val="24"/>
          <w:szCs w:val="24"/>
        </w:rPr>
        <w:t xml:space="preserve"> </w:t>
      </w:r>
      <w:proofErr w:type="spellStart"/>
      <w:r w:rsidR="007E0A82" w:rsidRPr="000E700A">
        <w:rPr>
          <w:sz w:val="24"/>
          <w:szCs w:val="24"/>
        </w:rPr>
        <w:t>komunikacijska</w:t>
      </w:r>
      <w:proofErr w:type="spellEnd"/>
      <w:r w:rsidR="007E0A82" w:rsidRPr="000E700A">
        <w:rPr>
          <w:sz w:val="24"/>
          <w:szCs w:val="24"/>
        </w:rPr>
        <w:t xml:space="preserve"> </w:t>
      </w:r>
      <w:proofErr w:type="spellStart"/>
      <w:r w:rsidR="007E0A82" w:rsidRPr="000E700A">
        <w:rPr>
          <w:sz w:val="24"/>
          <w:szCs w:val="24"/>
        </w:rPr>
        <w:t>infrastruktura</w:t>
      </w:r>
      <w:proofErr w:type="spellEnd"/>
      <w:r w:rsidR="007E0A82" w:rsidRPr="000E700A">
        <w:rPr>
          <w:sz w:val="24"/>
          <w:szCs w:val="24"/>
        </w:rPr>
        <w:t xml:space="preserve"> – </w:t>
      </w:r>
      <w:proofErr w:type="spellStart"/>
      <w:r w:rsidR="007E0A82" w:rsidRPr="000E700A">
        <w:rPr>
          <w:sz w:val="24"/>
          <w:szCs w:val="24"/>
        </w:rPr>
        <w:t>CroQCI</w:t>
      </w:r>
      <w:proofErr w:type="spellEnd"/>
      <w:r w:rsidRPr="000E700A">
        <w:rPr>
          <w:sz w:val="24"/>
          <w:szCs w:val="24"/>
        </w:rPr>
        <w:t xml:space="preserve"> </w:t>
      </w:r>
      <w:proofErr w:type="spellStart"/>
      <w:r w:rsidR="00D70BB9" w:rsidRPr="000E700A">
        <w:rPr>
          <w:sz w:val="24"/>
          <w:szCs w:val="24"/>
        </w:rPr>
        <w:t>i</w:t>
      </w:r>
      <w:proofErr w:type="spellEnd"/>
      <w:r w:rsidRPr="000E700A">
        <w:rPr>
          <w:sz w:val="24"/>
          <w:szCs w:val="24"/>
        </w:rPr>
        <w:t xml:space="preserve"> transfer</w:t>
      </w:r>
      <w:r w:rsidR="00D70BB9" w:rsidRPr="000E700A">
        <w:rPr>
          <w:sz w:val="24"/>
          <w:szCs w:val="24"/>
        </w:rPr>
        <w:t xml:space="preserve"> </w:t>
      </w:r>
      <w:proofErr w:type="spellStart"/>
      <w:r w:rsidR="00D70BB9" w:rsidRPr="000E700A">
        <w:rPr>
          <w:sz w:val="24"/>
          <w:szCs w:val="24"/>
        </w:rPr>
        <w:t>Hrvatskom</w:t>
      </w:r>
      <w:proofErr w:type="spellEnd"/>
      <w:r w:rsidR="00D70BB9" w:rsidRPr="000E700A">
        <w:rPr>
          <w:sz w:val="24"/>
          <w:szCs w:val="24"/>
        </w:rPr>
        <w:t xml:space="preserve"> </w:t>
      </w:r>
      <w:proofErr w:type="spellStart"/>
      <w:r w:rsidR="00D70BB9" w:rsidRPr="000E700A">
        <w:rPr>
          <w:sz w:val="24"/>
          <w:szCs w:val="24"/>
        </w:rPr>
        <w:t>katoličkom</w:t>
      </w:r>
      <w:proofErr w:type="spellEnd"/>
      <w:r w:rsidR="00D70BB9" w:rsidRPr="000E700A">
        <w:rPr>
          <w:sz w:val="24"/>
          <w:szCs w:val="24"/>
        </w:rPr>
        <w:t xml:space="preserve"> </w:t>
      </w:r>
      <w:proofErr w:type="spellStart"/>
      <w:r w:rsidR="00D70BB9" w:rsidRPr="000E700A">
        <w:rPr>
          <w:sz w:val="24"/>
          <w:szCs w:val="24"/>
        </w:rPr>
        <w:t>sveučilištu</w:t>
      </w:r>
      <w:proofErr w:type="spellEnd"/>
      <w:r w:rsidR="00D70BB9" w:rsidRPr="000E700A">
        <w:rPr>
          <w:sz w:val="24"/>
          <w:szCs w:val="24"/>
        </w:rPr>
        <w:t xml:space="preserve"> u </w:t>
      </w:r>
      <w:proofErr w:type="spellStart"/>
      <w:r w:rsidR="00D70BB9" w:rsidRPr="000E700A">
        <w:rPr>
          <w:sz w:val="24"/>
          <w:szCs w:val="24"/>
        </w:rPr>
        <w:t>iznosu</w:t>
      </w:r>
      <w:proofErr w:type="spellEnd"/>
      <w:r w:rsidR="00D70BB9" w:rsidRPr="000E700A">
        <w:rPr>
          <w:sz w:val="24"/>
          <w:szCs w:val="24"/>
        </w:rPr>
        <w:t xml:space="preserve"> od 129.456,37 EUR </w:t>
      </w:r>
      <w:proofErr w:type="spellStart"/>
      <w:r w:rsidR="00D70BB9" w:rsidRPr="000E700A">
        <w:rPr>
          <w:sz w:val="24"/>
          <w:szCs w:val="24"/>
        </w:rPr>
        <w:t>koje</w:t>
      </w:r>
      <w:proofErr w:type="spellEnd"/>
      <w:r w:rsidR="00D70BB9" w:rsidRPr="000E700A">
        <w:rPr>
          <w:sz w:val="24"/>
          <w:szCs w:val="24"/>
        </w:rPr>
        <w:t xml:space="preserve"> </w:t>
      </w:r>
      <w:proofErr w:type="spellStart"/>
      <w:r w:rsidR="00D70BB9" w:rsidRPr="000E700A">
        <w:rPr>
          <w:sz w:val="24"/>
          <w:szCs w:val="24"/>
        </w:rPr>
        <w:t>sudjeluje</w:t>
      </w:r>
      <w:proofErr w:type="spellEnd"/>
      <w:r w:rsidR="00D70BB9" w:rsidRPr="000E700A">
        <w:rPr>
          <w:sz w:val="24"/>
          <w:szCs w:val="24"/>
        </w:rPr>
        <w:t xml:space="preserve"> u </w:t>
      </w:r>
      <w:proofErr w:type="spellStart"/>
      <w:r w:rsidR="00D70BB9" w:rsidRPr="000E700A">
        <w:rPr>
          <w:sz w:val="24"/>
          <w:szCs w:val="24"/>
        </w:rPr>
        <w:t>projektu</w:t>
      </w:r>
      <w:proofErr w:type="spellEnd"/>
      <w:r w:rsidR="00D70BB9" w:rsidRPr="000E700A">
        <w:rPr>
          <w:sz w:val="24"/>
          <w:szCs w:val="24"/>
        </w:rPr>
        <w:t xml:space="preserve"> „</w:t>
      </w:r>
      <w:proofErr w:type="spellStart"/>
      <w:r w:rsidR="00D70BB9" w:rsidRPr="000E700A">
        <w:rPr>
          <w:sz w:val="24"/>
          <w:szCs w:val="24"/>
        </w:rPr>
        <w:t>Primjena</w:t>
      </w:r>
      <w:proofErr w:type="spellEnd"/>
      <w:r w:rsidR="00D70BB9" w:rsidRPr="000E700A">
        <w:rPr>
          <w:sz w:val="24"/>
          <w:szCs w:val="24"/>
        </w:rPr>
        <w:t xml:space="preserve"> </w:t>
      </w:r>
      <w:proofErr w:type="spellStart"/>
      <w:r w:rsidR="00D70BB9" w:rsidRPr="000E700A">
        <w:rPr>
          <w:sz w:val="24"/>
          <w:szCs w:val="24"/>
        </w:rPr>
        <w:t>digitalnih</w:t>
      </w:r>
      <w:proofErr w:type="spellEnd"/>
      <w:r w:rsidR="00D70BB9" w:rsidRPr="000E700A">
        <w:rPr>
          <w:sz w:val="24"/>
          <w:szCs w:val="24"/>
        </w:rPr>
        <w:t xml:space="preserve"> </w:t>
      </w:r>
      <w:proofErr w:type="spellStart"/>
      <w:r w:rsidR="00D70BB9" w:rsidRPr="000E700A">
        <w:rPr>
          <w:sz w:val="24"/>
          <w:szCs w:val="24"/>
        </w:rPr>
        <w:t>tehnologija</w:t>
      </w:r>
      <w:proofErr w:type="spellEnd"/>
      <w:r w:rsidR="00D70BB9" w:rsidRPr="000E700A">
        <w:rPr>
          <w:sz w:val="24"/>
          <w:szCs w:val="24"/>
        </w:rPr>
        <w:t xml:space="preserve"> </w:t>
      </w:r>
      <w:proofErr w:type="spellStart"/>
      <w:r w:rsidR="00D70BB9" w:rsidRPr="000E700A">
        <w:rPr>
          <w:sz w:val="24"/>
          <w:szCs w:val="24"/>
        </w:rPr>
        <w:t>temeljenih</w:t>
      </w:r>
      <w:proofErr w:type="spellEnd"/>
      <w:r w:rsidR="00D70BB9" w:rsidRPr="000E700A">
        <w:rPr>
          <w:sz w:val="24"/>
          <w:szCs w:val="24"/>
        </w:rPr>
        <w:t xml:space="preserve"> </w:t>
      </w:r>
      <w:proofErr w:type="spellStart"/>
      <w:r w:rsidR="00D70BB9" w:rsidRPr="000E700A">
        <w:rPr>
          <w:sz w:val="24"/>
          <w:szCs w:val="24"/>
        </w:rPr>
        <w:t>na</w:t>
      </w:r>
      <w:proofErr w:type="spellEnd"/>
      <w:r w:rsidR="00D70BB9" w:rsidRPr="000E700A">
        <w:rPr>
          <w:sz w:val="24"/>
          <w:szCs w:val="24"/>
        </w:rPr>
        <w:t xml:space="preserve"> </w:t>
      </w:r>
      <w:proofErr w:type="spellStart"/>
      <w:r w:rsidR="00D70BB9" w:rsidRPr="000E700A">
        <w:rPr>
          <w:sz w:val="24"/>
          <w:szCs w:val="24"/>
        </w:rPr>
        <w:t>umjetnoj</w:t>
      </w:r>
      <w:proofErr w:type="spellEnd"/>
      <w:r w:rsidR="00D70BB9" w:rsidRPr="000E700A">
        <w:rPr>
          <w:sz w:val="24"/>
          <w:szCs w:val="24"/>
        </w:rPr>
        <w:t xml:space="preserve"> </w:t>
      </w:r>
      <w:proofErr w:type="spellStart"/>
      <w:r w:rsidR="00D70BB9" w:rsidRPr="000E700A">
        <w:rPr>
          <w:sz w:val="24"/>
          <w:szCs w:val="24"/>
        </w:rPr>
        <w:t>inteligenciji</w:t>
      </w:r>
      <w:proofErr w:type="spellEnd"/>
      <w:r w:rsidR="00D70BB9" w:rsidRPr="000E700A">
        <w:rPr>
          <w:sz w:val="24"/>
          <w:szCs w:val="24"/>
        </w:rPr>
        <w:t xml:space="preserve"> u </w:t>
      </w:r>
      <w:proofErr w:type="spellStart"/>
      <w:r w:rsidR="00D70BB9" w:rsidRPr="000E700A">
        <w:rPr>
          <w:sz w:val="24"/>
          <w:szCs w:val="24"/>
        </w:rPr>
        <w:t>obrazovanju</w:t>
      </w:r>
      <w:proofErr w:type="spellEnd"/>
      <w:r w:rsidR="00D70BB9" w:rsidRPr="000E700A">
        <w:rPr>
          <w:sz w:val="24"/>
          <w:szCs w:val="24"/>
        </w:rPr>
        <w:t xml:space="preserve"> – </w:t>
      </w:r>
      <w:proofErr w:type="spellStart"/>
      <w:proofErr w:type="gramStart"/>
      <w:r w:rsidR="00D70BB9" w:rsidRPr="000E700A">
        <w:rPr>
          <w:sz w:val="24"/>
          <w:szCs w:val="24"/>
        </w:rPr>
        <w:t>BrAIn</w:t>
      </w:r>
      <w:proofErr w:type="spellEnd"/>
      <w:r w:rsidR="00D70BB9" w:rsidRPr="000E700A">
        <w:rPr>
          <w:sz w:val="24"/>
          <w:szCs w:val="24"/>
        </w:rPr>
        <w:t>“</w:t>
      </w:r>
      <w:proofErr w:type="gramEnd"/>
      <w:r w:rsidR="00D70BB9" w:rsidRPr="000E700A">
        <w:rPr>
          <w:sz w:val="24"/>
          <w:szCs w:val="24"/>
        </w:rPr>
        <w:t xml:space="preserve">, </w:t>
      </w:r>
      <w:proofErr w:type="spellStart"/>
      <w:r w:rsidR="00D70BB9" w:rsidRPr="000E700A">
        <w:rPr>
          <w:sz w:val="24"/>
          <w:szCs w:val="24"/>
        </w:rPr>
        <w:t>kao</w:t>
      </w:r>
      <w:proofErr w:type="spellEnd"/>
      <w:r w:rsidR="00D70BB9" w:rsidRPr="000E700A">
        <w:rPr>
          <w:sz w:val="24"/>
          <w:szCs w:val="24"/>
        </w:rPr>
        <w:t xml:space="preserve"> </w:t>
      </w:r>
      <w:proofErr w:type="spellStart"/>
      <w:r w:rsidR="00D70BB9" w:rsidRPr="000E700A">
        <w:rPr>
          <w:sz w:val="24"/>
          <w:szCs w:val="24"/>
        </w:rPr>
        <w:t>partnerska</w:t>
      </w:r>
      <w:proofErr w:type="spellEnd"/>
      <w:r w:rsidR="00D70BB9" w:rsidRPr="000E700A">
        <w:rPr>
          <w:sz w:val="24"/>
          <w:szCs w:val="24"/>
        </w:rPr>
        <w:t xml:space="preserve"> </w:t>
      </w:r>
      <w:proofErr w:type="spellStart"/>
      <w:r w:rsidR="00D70BB9" w:rsidRPr="000E700A">
        <w:rPr>
          <w:sz w:val="24"/>
          <w:szCs w:val="24"/>
        </w:rPr>
        <w:t>institucija</w:t>
      </w:r>
      <w:proofErr w:type="spellEnd"/>
      <w:r w:rsidR="00D70BB9" w:rsidRPr="000E700A">
        <w:rPr>
          <w:sz w:val="24"/>
          <w:szCs w:val="24"/>
        </w:rPr>
        <w:t>.</w:t>
      </w:r>
      <w:r w:rsidRPr="000E700A">
        <w:rPr>
          <w:sz w:val="24"/>
          <w:szCs w:val="24"/>
        </w:rPr>
        <w:t xml:space="preserve"> </w:t>
      </w:r>
    </w:p>
    <w:p w14:paraId="753AE0AB" w14:textId="77777777" w:rsidR="00EE20D1" w:rsidRPr="000E700A" w:rsidRDefault="00EE20D1" w:rsidP="00324432">
      <w:pPr>
        <w:spacing w:line="360" w:lineRule="auto"/>
        <w:jc w:val="both"/>
        <w:rPr>
          <w:sz w:val="24"/>
          <w:szCs w:val="24"/>
        </w:rPr>
      </w:pPr>
    </w:p>
    <w:p w14:paraId="45EAE1BB" w14:textId="66FA1645" w:rsidR="00324432" w:rsidRPr="000E700A" w:rsidRDefault="00324432" w:rsidP="00C919B8">
      <w:pPr>
        <w:spacing w:line="360" w:lineRule="auto"/>
        <w:jc w:val="both"/>
        <w:rPr>
          <w:b/>
          <w:sz w:val="24"/>
          <w:szCs w:val="24"/>
          <w:lang w:val="hr-HR"/>
        </w:rPr>
      </w:pPr>
      <w:r w:rsidRPr="000E700A">
        <w:rPr>
          <w:b/>
          <w:sz w:val="24"/>
          <w:szCs w:val="24"/>
          <w:lang w:val="hr-HR"/>
        </w:rPr>
        <w:t>Rashodi za nabavu nefinancijske imovine</w:t>
      </w:r>
    </w:p>
    <w:p w14:paraId="0424F28F" w14:textId="77777777" w:rsidR="00B51204" w:rsidRPr="000E700A" w:rsidRDefault="00B51204" w:rsidP="00C919B8">
      <w:pPr>
        <w:spacing w:line="360" w:lineRule="auto"/>
        <w:jc w:val="both"/>
        <w:rPr>
          <w:b/>
          <w:sz w:val="24"/>
          <w:szCs w:val="24"/>
          <w:lang w:val="hr-HR"/>
        </w:rPr>
      </w:pPr>
    </w:p>
    <w:p w14:paraId="6539F7C0" w14:textId="143DB78A" w:rsidR="00B51204" w:rsidRPr="000E700A" w:rsidRDefault="00B51204" w:rsidP="00B51204">
      <w:pPr>
        <w:spacing w:line="360" w:lineRule="auto"/>
        <w:jc w:val="both"/>
        <w:rPr>
          <w:sz w:val="24"/>
          <w:szCs w:val="24"/>
        </w:rPr>
      </w:pPr>
      <w:proofErr w:type="spellStart"/>
      <w:r w:rsidRPr="000E700A">
        <w:rPr>
          <w:sz w:val="24"/>
          <w:szCs w:val="24"/>
        </w:rPr>
        <w:t>Rashodi</w:t>
      </w:r>
      <w:proofErr w:type="spellEnd"/>
      <w:r w:rsidRPr="000E700A">
        <w:rPr>
          <w:sz w:val="24"/>
          <w:szCs w:val="24"/>
        </w:rPr>
        <w:t xml:space="preserve"> za </w:t>
      </w:r>
      <w:proofErr w:type="spellStart"/>
      <w:r w:rsidRPr="000E700A">
        <w:rPr>
          <w:sz w:val="24"/>
          <w:szCs w:val="24"/>
        </w:rPr>
        <w:t>nabavu</w:t>
      </w:r>
      <w:proofErr w:type="spellEnd"/>
      <w:r w:rsidRPr="000E700A">
        <w:rPr>
          <w:sz w:val="24"/>
          <w:szCs w:val="24"/>
        </w:rPr>
        <w:t xml:space="preserve"> </w:t>
      </w:r>
      <w:proofErr w:type="spellStart"/>
      <w:r w:rsidRPr="000E700A">
        <w:rPr>
          <w:sz w:val="24"/>
          <w:szCs w:val="24"/>
        </w:rPr>
        <w:t>nefinancijske</w:t>
      </w:r>
      <w:proofErr w:type="spellEnd"/>
      <w:r w:rsidRPr="000E700A">
        <w:rPr>
          <w:sz w:val="24"/>
          <w:szCs w:val="24"/>
        </w:rPr>
        <w:t xml:space="preserve"> </w:t>
      </w:r>
      <w:proofErr w:type="spellStart"/>
      <w:r w:rsidRPr="000E700A">
        <w:rPr>
          <w:sz w:val="24"/>
          <w:szCs w:val="24"/>
        </w:rPr>
        <w:t>imovine</w:t>
      </w:r>
      <w:proofErr w:type="spellEnd"/>
      <w:r w:rsidRPr="000E700A">
        <w:rPr>
          <w:sz w:val="24"/>
          <w:szCs w:val="24"/>
        </w:rPr>
        <w:t xml:space="preserve"> u 202</w:t>
      </w:r>
      <w:r w:rsidR="007A4663" w:rsidRPr="000E700A">
        <w:rPr>
          <w:sz w:val="24"/>
          <w:szCs w:val="24"/>
        </w:rPr>
        <w:t>4</w:t>
      </w:r>
      <w:r w:rsidRPr="000E700A">
        <w:rPr>
          <w:sz w:val="24"/>
          <w:szCs w:val="24"/>
        </w:rPr>
        <w:t xml:space="preserve">. </w:t>
      </w:r>
      <w:proofErr w:type="spellStart"/>
      <w:r w:rsidRPr="000E700A">
        <w:rPr>
          <w:sz w:val="24"/>
          <w:szCs w:val="24"/>
        </w:rPr>
        <w:t>godini</w:t>
      </w:r>
      <w:proofErr w:type="spellEnd"/>
      <w:r w:rsidRPr="000E700A">
        <w:rPr>
          <w:sz w:val="24"/>
          <w:szCs w:val="24"/>
        </w:rPr>
        <w:t xml:space="preserve"> </w:t>
      </w:r>
      <w:proofErr w:type="spellStart"/>
      <w:r w:rsidRPr="000E700A">
        <w:rPr>
          <w:sz w:val="24"/>
          <w:szCs w:val="24"/>
        </w:rPr>
        <w:t>izvršeni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od </w:t>
      </w:r>
      <w:r w:rsidR="000D12FA" w:rsidRPr="000E700A">
        <w:rPr>
          <w:sz w:val="24"/>
          <w:szCs w:val="24"/>
        </w:rPr>
        <w:t>4.951.664,55 EUR</w:t>
      </w:r>
      <w:r w:rsidRPr="000E700A">
        <w:rPr>
          <w:sz w:val="24"/>
          <w:szCs w:val="24"/>
        </w:rPr>
        <w:t xml:space="preserve">, a u </w:t>
      </w:r>
      <w:proofErr w:type="spellStart"/>
      <w:r w:rsidRPr="000E700A">
        <w:rPr>
          <w:sz w:val="24"/>
          <w:szCs w:val="24"/>
        </w:rPr>
        <w:t>usporedbi</w:t>
      </w:r>
      <w:proofErr w:type="spellEnd"/>
      <w:r w:rsidRPr="000E700A">
        <w:rPr>
          <w:sz w:val="24"/>
          <w:szCs w:val="24"/>
        </w:rPr>
        <w:t xml:space="preserve"> s </w:t>
      </w:r>
      <w:proofErr w:type="spellStart"/>
      <w:r w:rsidRPr="000E700A">
        <w:rPr>
          <w:sz w:val="24"/>
          <w:szCs w:val="24"/>
        </w:rPr>
        <w:t>prethodnom</w:t>
      </w:r>
      <w:proofErr w:type="spellEnd"/>
      <w:r w:rsidRPr="000E700A">
        <w:rPr>
          <w:sz w:val="24"/>
          <w:szCs w:val="24"/>
        </w:rPr>
        <w:t xml:space="preserve"> </w:t>
      </w:r>
      <w:proofErr w:type="spellStart"/>
      <w:r w:rsidRPr="000E700A">
        <w:rPr>
          <w:sz w:val="24"/>
          <w:szCs w:val="24"/>
        </w:rPr>
        <w:t>godinom</w:t>
      </w:r>
      <w:proofErr w:type="spellEnd"/>
      <w:r w:rsidRPr="000E700A">
        <w:rPr>
          <w:sz w:val="24"/>
          <w:szCs w:val="24"/>
        </w:rPr>
        <w:t xml:space="preserve"> </w:t>
      </w:r>
      <w:proofErr w:type="spellStart"/>
      <w:r w:rsidR="000D12FA" w:rsidRPr="000E700A">
        <w:rPr>
          <w:sz w:val="24"/>
          <w:szCs w:val="24"/>
        </w:rPr>
        <w:t>smanjeni</w:t>
      </w:r>
      <w:proofErr w:type="spellEnd"/>
      <w:r w:rsidR="000D12FA" w:rsidRPr="000E700A">
        <w:rPr>
          <w:sz w:val="24"/>
          <w:szCs w:val="24"/>
        </w:rPr>
        <w:t xml:space="preserve"> </w:t>
      </w:r>
      <w:proofErr w:type="spellStart"/>
      <w:r w:rsidR="000D12FA" w:rsidRPr="000E700A">
        <w:rPr>
          <w:sz w:val="24"/>
          <w:szCs w:val="24"/>
        </w:rPr>
        <w:t>su</w:t>
      </w:r>
      <w:proofErr w:type="spellEnd"/>
      <w:r w:rsidRPr="000E700A">
        <w:rPr>
          <w:sz w:val="24"/>
          <w:szCs w:val="24"/>
        </w:rPr>
        <w:t xml:space="preserve"> za </w:t>
      </w:r>
      <w:r w:rsidR="000D12FA" w:rsidRPr="000E700A">
        <w:rPr>
          <w:sz w:val="24"/>
          <w:szCs w:val="24"/>
        </w:rPr>
        <w:t>53.971.336,21</w:t>
      </w:r>
      <w:r w:rsidRPr="000E700A">
        <w:rPr>
          <w:sz w:val="24"/>
          <w:szCs w:val="24"/>
        </w:rPr>
        <w:t xml:space="preserve"> </w:t>
      </w:r>
      <w:proofErr w:type="spellStart"/>
      <w:r w:rsidRPr="000E700A">
        <w:rPr>
          <w:sz w:val="24"/>
          <w:szCs w:val="24"/>
        </w:rPr>
        <w:t>eura</w:t>
      </w:r>
      <w:proofErr w:type="spellEnd"/>
      <w:r w:rsidRPr="000E700A">
        <w:rPr>
          <w:sz w:val="24"/>
          <w:szCs w:val="24"/>
        </w:rPr>
        <w:t xml:space="preserve">, </w:t>
      </w:r>
      <w:proofErr w:type="spellStart"/>
      <w:r w:rsidRPr="000E700A">
        <w:rPr>
          <w:sz w:val="24"/>
          <w:szCs w:val="24"/>
        </w:rPr>
        <w:t>odnosno</w:t>
      </w:r>
      <w:proofErr w:type="spellEnd"/>
      <w:r w:rsidRPr="000E700A">
        <w:rPr>
          <w:sz w:val="24"/>
          <w:szCs w:val="24"/>
        </w:rPr>
        <w:t xml:space="preserve"> </w:t>
      </w:r>
      <w:r w:rsidR="000D12FA" w:rsidRPr="000E700A">
        <w:rPr>
          <w:sz w:val="24"/>
          <w:szCs w:val="24"/>
        </w:rPr>
        <w:t>91,6</w:t>
      </w:r>
      <w:r w:rsidRPr="000E700A">
        <w:rPr>
          <w:sz w:val="24"/>
          <w:szCs w:val="24"/>
        </w:rPr>
        <w:t>%</w:t>
      </w:r>
      <w:r w:rsidR="000D12FA" w:rsidRPr="000E700A">
        <w:rPr>
          <w:sz w:val="24"/>
          <w:szCs w:val="24"/>
        </w:rPr>
        <w:t xml:space="preserve"> </w:t>
      </w:r>
      <w:proofErr w:type="spellStart"/>
      <w:r w:rsidR="000D12FA" w:rsidRPr="000E700A">
        <w:rPr>
          <w:sz w:val="24"/>
          <w:szCs w:val="24"/>
        </w:rPr>
        <w:t>što</w:t>
      </w:r>
      <w:proofErr w:type="spellEnd"/>
      <w:r w:rsidR="000D12FA" w:rsidRPr="000E700A">
        <w:rPr>
          <w:sz w:val="24"/>
          <w:szCs w:val="24"/>
        </w:rPr>
        <w:t xml:space="preserve"> je </w:t>
      </w:r>
      <w:proofErr w:type="spellStart"/>
      <w:r w:rsidR="000D12FA" w:rsidRPr="000E700A">
        <w:rPr>
          <w:sz w:val="24"/>
          <w:szCs w:val="24"/>
        </w:rPr>
        <w:t>posljedica</w:t>
      </w:r>
      <w:proofErr w:type="spellEnd"/>
      <w:r w:rsidR="000D12FA" w:rsidRPr="000E700A">
        <w:rPr>
          <w:sz w:val="24"/>
          <w:szCs w:val="24"/>
        </w:rPr>
        <w:t xml:space="preserve"> </w:t>
      </w:r>
      <w:proofErr w:type="spellStart"/>
      <w:r w:rsidR="000D12FA" w:rsidRPr="000E700A">
        <w:rPr>
          <w:sz w:val="24"/>
          <w:szCs w:val="24"/>
        </w:rPr>
        <w:t>završetka</w:t>
      </w:r>
      <w:proofErr w:type="spellEnd"/>
      <w:r w:rsidR="000D12FA" w:rsidRPr="000E700A">
        <w:rPr>
          <w:sz w:val="24"/>
          <w:szCs w:val="24"/>
        </w:rPr>
        <w:t xml:space="preserve"> </w:t>
      </w:r>
      <w:proofErr w:type="spellStart"/>
      <w:r w:rsidR="000D12FA" w:rsidRPr="000E700A">
        <w:rPr>
          <w:sz w:val="24"/>
          <w:szCs w:val="24"/>
        </w:rPr>
        <w:t>projekta</w:t>
      </w:r>
      <w:proofErr w:type="spellEnd"/>
      <w:r w:rsidR="000D12FA" w:rsidRPr="000E700A">
        <w:rPr>
          <w:sz w:val="24"/>
          <w:szCs w:val="24"/>
        </w:rPr>
        <w:t xml:space="preserve"> „e-</w:t>
      </w:r>
      <w:proofErr w:type="spellStart"/>
      <w:r w:rsidR="000D12FA" w:rsidRPr="000E700A">
        <w:rPr>
          <w:sz w:val="24"/>
          <w:szCs w:val="24"/>
        </w:rPr>
        <w:t>Škole</w:t>
      </w:r>
      <w:proofErr w:type="spellEnd"/>
      <w:r w:rsidR="000D12FA" w:rsidRPr="000E700A">
        <w:rPr>
          <w:sz w:val="24"/>
          <w:szCs w:val="24"/>
        </w:rPr>
        <w:t xml:space="preserve">: </w:t>
      </w:r>
      <w:proofErr w:type="spellStart"/>
      <w:r w:rsidR="000D12FA" w:rsidRPr="000E700A">
        <w:rPr>
          <w:sz w:val="24"/>
          <w:szCs w:val="24"/>
        </w:rPr>
        <w:t>Razvoj</w:t>
      </w:r>
      <w:proofErr w:type="spellEnd"/>
      <w:r w:rsidR="000D12FA" w:rsidRPr="000E700A">
        <w:rPr>
          <w:sz w:val="24"/>
          <w:szCs w:val="24"/>
        </w:rPr>
        <w:t xml:space="preserve"> </w:t>
      </w:r>
      <w:proofErr w:type="spellStart"/>
      <w:r w:rsidR="000D12FA" w:rsidRPr="000E700A">
        <w:rPr>
          <w:sz w:val="24"/>
          <w:szCs w:val="24"/>
        </w:rPr>
        <w:t>sustava</w:t>
      </w:r>
      <w:proofErr w:type="spellEnd"/>
      <w:r w:rsidR="000D12FA" w:rsidRPr="000E700A">
        <w:rPr>
          <w:sz w:val="24"/>
          <w:szCs w:val="24"/>
        </w:rPr>
        <w:t xml:space="preserve"> </w:t>
      </w:r>
      <w:proofErr w:type="spellStart"/>
      <w:r w:rsidR="000D12FA" w:rsidRPr="000E700A">
        <w:rPr>
          <w:sz w:val="24"/>
          <w:szCs w:val="24"/>
        </w:rPr>
        <w:t>digitalno</w:t>
      </w:r>
      <w:proofErr w:type="spellEnd"/>
      <w:r w:rsidR="000D12FA" w:rsidRPr="000E700A">
        <w:rPr>
          <w:sz w:val="24"/>
          <w:szCs w:val="24"/>
        </w:rPr>
        <w:t xml:space="preserve"> </w:t>
      </w:r>
      <w:proofErr w:type="spellStart"/>
      <w:r w:rsidR="000D12FA" w:rsidRPr="000E700A">
        <w:rPr>
          <w:sz w:val="24"/>
          <w:szCs w:val="24"/>
        </w:rPr>
        <w:t>zrelih</w:t>
      </w:r>
      <w:proofErr w:type="spellEnd"/>
      <w:r w:rsidR="000D12FA" w:rsidRPr="000E700A">
        <w:rPr>
          <w:sz w:val="24"/>
          <w:szCs w:val="24"/>
        </w:rPr>
        <w:t xml:space="preserve"> </w:t>
      </w:r>
      <w:proofErr w:type="spellStart"/>
      <w:r w:rsidR="000D12FA" w:rsidRPr="000E700A">
        <w:rPr>
          <w:sz w:val="24"/>
          <w:szCs w:val="24"/>
        </w:rPr>
        <w:t>škola</w:t>
      </w:r>
      <w:proofErr w:type="spellEnd"/>
      <w:r w:rsidR="000D12FA" w:rsidRPr="000E700A">
        <w:rPr>
          <w:sz w:val="24"/>
          <w:szCs w:val="24"/>
        </w:rPr>
        <w:t xml:space="preserve"> (II. </w:t>
      </w:r>
      <w:proofErr w:type="spellStart"/>
      <w:r w:rsidR="000D12FA" w:rsidRPr="000E700A">
        <w:rPr>
          <w:sz w:val="24"/>
          <w:szCs w:val="24"/>
        </w:rPr>
        <w:t>faza</w:t>
      </w:r>
      <w:proofErr w:type="spellEnd"/>
      <w:r w:rsidR="000D12FA" w:rsidRPr="000E700A">
        <w:rPr>
          <w:sz w:val="24"/>
          <w:szCs w:val="24"/>
        </w:rPr>
        <w:t>)”</w:t>
      </w:r>
      <w:r w:rsidR="00FC2135" w:rsidRPr="000E700A">
        <w:rPr>
          <w:sz w:val="24"/>
          <w:szCs w:val="24"/>
        </w:rPr>
        <w:t>.</w:t>
      </w:r>
    </w:p>
    <w:p w14:paraId="5CF9A22B" w14:textId="77777777" w:rsidR="00FC2135" w:rsidRPr="000E700A" w:rsidRDefault="00FC2135" w:rsidP="00B51204">
      <w:pPr>
        <w:spacing w:line="360" w:lineRule="auto"/>
        <w:jc w:val="both"/>
        <w:rPr>
          <w:sz w:val="24"/>
          <w:szCs w:val="24"/>
          <w:highlight w:val="yellow"/>
        </w:rPr>
      </w:pPr>
    </w:p>
    <w:p w14:paraId="0874BA85" w14:textId="77777777" w:rsidR="00844835" w:rsidRPr="000E700A" w:rsidRDefault="00B51204" w:rsidP="000D12FA">
      <w:pPr>
        <w:spacing w:line="360" w:lineRule="auto"/>
        <w:jc w:val="both"/>
        <w:rPr>
          <w:sz w:val="24"/>
          <w:szCs w:val="24"/>
        </w:rPr>
      </w:pPr>
      <w:proofErr w:type="spellStart"/>
      <w:r w:rsidRPr="000E700A">
        <w:rPr>
          <w:sz w:val="24"/>
          <w:szCs w:val="24"/>
        </w:rPr>
        <w:t>Unutar</w:t>
      </w:r>
      <w:proofErr w:type="spellEnd"/>
      <w:r w:rsidRPr="000E700A">
        <w:rPr>
          <w:sz w:val="24"/>
          <w:szCs w:val="24"/>
        </w:rPr>
        <w:t xml:space="preserve"> </w:t>
      </w:r>
      <w:proofErr w:type="spellStart"/>
      <w:r w:rsidRPr="000E700A">
        <w:rPr>
          <w:sz w:val="24"/>
          <w:szCs w:val="24"/>
        </w:rPr>
        <w:t>ove</w:t>
      </w:r>
      <w:proofErr w:type="spellEnd"/>
      <w:r w:rsidRPr="000E700A">
        <w:rPr>
          <w:sz w:val="24"/>
          <w:szCs w:val="24"/>
        </w:rPr>
        <w:t xml:space="preserve"> </w:t>
      </w:r>
      <w:proofErr w:type="spellStart"/>
      <w:r w:rsidRPr="000E700A">
        <w:rPr>
          <w:sz w:val="24"/>
          <w:szCs w:val="24"/>
        </w:rPr>
        <w:t>kategorije</w:t>
      </w:r>
      <w:proofErr w:type="spellEnd"/>
      <w:r w:rsidRPr="000E700A">
        <w:rPr>
          <w:sz w:val="24"/>
          <w:szCs w:val="24"/>
        </w:rPr>
        <w:t xml:space="preserve"> </w:t>
      </w:r>
      <w:proofErr w:type="spellStart"/>
      <w:r w:rsidRPr="000E700A">
        <w:rPr>
          <w:sz w:val="24"/>
          <w:szCs w:val="24"/>
        </w:rPr>
        <w:t>rashoda</w:t>
      </w:r>
      <w:proofErr w:type="spellEnd"/>
      <w:r w:rsidRPr="000E700A">
        <w:rPr>
          <w:sz w:val="24"/>
          <w:szCs w:val="24"/>
        </w:rPr>
        <w:t xml:space="preserve">, </w:t>
      </w:r>
      <w:proofErr w:type="spellStart"/>
      <w:r w:rsidRPr="000E700A">
        <w:rPr>
          <w:sz w:val="24"/>
          <w:szCs w:val="24"/>
        </w:rPr>
        <w:t>najznačajniji</w:t>
      </w:r>
      <w:proofErr w:type="spellEnd"/>
      <w:r w:rsidRPr="000E700A">
        <w:rPr>
          <w:sz w:val="24"/>
          <w:szCs w:val="24"/>
        </w:rPr>
        <w:t xml:space="preserve"> </w:t>
      </w:r>
      <w:proofErr w:type="spellStart"/>
      <w:r w:rsidRPr="000E700A">
        <w:rPr>
          <w:sz w:val="24"/>
          <w:szCs w:val="24"/>
        </w:rPr>
        <w:t>iznos</w:t>
      </w:r>
      <w:proofErr w:type="spellEnd"/>
      <w:r w:rsidRPr="000E700A">
        <w:rPr>
          <w:sz w:val="24"/>
          <w:szCs w:val="24"/>
        </w:rPr>
        <w:t xml:space="preserve"> od </w:t>
      </w:r>
      <w:r w:rsidR="0066611F" w:rsidRPr="000E700A">
        <w:rPr>
          <w:sz w:val="24"/>
          <w:szCs w:val="24"/>
        </w:rPr>
        <w:t>3.405.075,04 EUR</w:t>
      </w:r>
      <w:r w:rsidRPr="000E700A">
        <w:rPr>
          <w:sz w:val="24"/>
          <w:szCs w:val="24"/>
        </w:rPr>
        <w:t xml:space="preserve"> </w:t>
      </w:r>
      <w:proofErr w:type="spellStart"/>
      <w:r w:rsidRPr="000E700A">
        <w:rPr>
          <w:sz w:val="24"/>
          <w:szCs w:val="24"/>
        </w:rPr>
        <w:t>odnosi</w:t>
      </w:r>
      <w:proofErr w:type="spellEnd"/>
      <w:r w:rsidRPr="000E700A">
        <w:rPr>
          <w:sz w:val="24"/>
          <w:szCs w:val="24"/>
        </w:rPr>
        <w:t xml:space="preserve"> se </w:t>
      </w:r>
      <w:proofErr w:type="spellStart"/>
      <w:r w:rsidRPr="000E700A">
        <w:rPr>
          <w:sz w:val="24"/>
          <w:szCs w:val="24"/>
        </w:rPr>
        <w:t>na</w:t>
      </w:r>
      <w:proofErr w:type="spellEnd"/>
      <w:r w:rsidRPr="000E700A">
        <w:rPr>
          <w:sz w:val="24"/>
          <w:szCs w:val="24"/>
        </w:rPr>
        <w:t xml:space="preserve"> </w:t>
      </w:r>
      <w:proofErr w:type="spellStart"/>
      <w:r w:rsidRPr="000E700A">
        <w:rPr>
          <w:sz w:val="24"/>
          <w:szCs w:val="24"/>
        </w:rPr>
        <w:t>rashode</w:t>
      </w:r>
      <w:proofErr w:type="spellEnd"/>
      <w:r w:rsidRPr="000E700A">
        <w:rPr>
          <w:sz w:val="24"/>
          <w:szCs w:val="24"/>
        </w:rPr>
        <w:t xml:space="preserve"> za </w:t>
      </w:r>
      <w:proofErr w:type="spellStart"/>
      <w:r w:rsidRPr="000E700A">
        <w:rPr>
          <w:sz w:val="24"/>
          <w:szCs w:val="24"/>
        </w:rPr>
        <w:t>nabavu</w:t>
      </w:r>
      <w:proofErr w:type="spellEnd"/>
      <w:r w:rsidRPr="000E700A">
        <w:rPr>
          <w:sz w:val="24"/>
          <w:szCs w:val="24"/>
        </w:rPr>
        <w:t xml:space="preserve"> </w:t>
      </w:r>
      <w:proofErr w:type="spellStart"/>
      <w:r w:rsidRPr="000E700A">
        <w:rPr>
          <w:sz w:val="24"/>
          <w:szCs w:val="24"/>
        </w:rPr>
        <w:t>proizvedene</w:t>
      </w:r>
      <w:proofErr w:type="spellEnd"/>
      <w:r w:rsidRPr="000E700A">
        <w:rPr>
          <w:sz w:val="24"/>
          <w:szCs w:val="24"/>
        </w:rPr>
        <w:t xml:space="preserve"> </w:t>
      </w:r>
      <w:proofErr w:type="spellStart"/>
      <w:r w:rsidRPr="000E700A">
        <w:rPr>
          <w:sz w:val="24"/>
          <w:szCs w:val="24"/>
        </w:rPr>
        <w:t>dugotrajne</w:t>
      </w:r>
      <w:proofErr w:type="spellEnd"/>
      <w:r w:rsidRPr="000E700A">
        <w:rPr>
          <w:sz w:val="24"/>
          <w:szCs w:val="24"/>
        </w:rPr>
        <w:t xml:space="preserve"> </w:t>
      </w:r>
      <w:proofErr w:type="spellStart"/>
      <w:r w:rsidRPr="000E700A">
        <w:rPr>
          <w:sz w:val="24"/>
          <w:szCs w:val="24"/>
        </w:rPr>
        <w:t>imovine</w:t>
      </w:r>
      <w:proofErr w:type="spellEnd"/>
      <w:r w:rsidRPr="000E700A">
        <w:rPr>
          <w:sz w:val="24"/>
          <w:szCs w:val="24"/>
        </w:rPr>
        <w:t xml:space="preserve"> </w:t>
      </w:r>
      <w:proofErr w:type="spellStart"/>
      <w:r w:rsidR="00844835" w:rsidRPr="000E700A">
        <w:rPr>
          <w:sz w:val="24"/>
          <w:szCs w:val="24"/>
        </w:rPr>
        <w:t>od</w:t>
      </w:r>
      <w:proofErr w:type="spellEnd"/>
      <w:r w:rsidR="00844835" w:rsidRPr="000E700A">
        <w:rPr>
          <w:sz w:val="24"/>
          <w:szCs w:val="24"/>
        </w:rPr>
        <w:t xml:space="preserve"> </w:t>
      </w:r>
      <w:proofErr w:type="spellStart"/>
      <w:r w:rsidR="00844835" w:rsidRPr="000E700A">
        <w:rPr>
          <w:sz w:val="24"/>
          <w:szCs w:val="24"/>
        </w:rPr>
        <w:t>čega</w:t>
      </w:r>
      <w:proofErr w:type="spellEnd"/>
      <w:r w:rsidR="00844835" w:rsidRPr="000E700A">
        <w:rPr>
          <w:sz w:val="24"/>
          <w:szCs w:val="24"/>
        </w:rPr>
        <w:t xml:space="preserve"> se </w:t>
      </w:r>
      <w:proofErr w:type="spellStart"/>
      <w:r w:rsidR="00844835" w:rsidRPr="000E700A">
        <w:rPr>
          <w:sz w:val="24"/>
          <w:szCs w:val="24"/>
        </w:rPr>
        <w:t>iznos</w:t>
      </w:r>
      <w:proofErr w:type="spellEnd"/>
      <w:r w:rsidR="00844835" w:rsidRPr="000E700A">
        <w:rPr>
          <w:sz w:val="24"/>
          <w:szCs w:val="24"/>
        </w:rPr>
        <w:t xml:space="preserve"> od 1.454.424,22 EUR </w:t>
      </w:r>
      <w:proofErr w:type="spellStart"/>
      <w:r w:rsidR="00844835" w:rsidRPr="000E700A">
        <w:rPr>
          <w:sz w:val="24"/>
          <w:szCs w:val="24"/>
        </w:rPr>
        <w:t>odnosi</w:t>
      </w:r>
      <w:proofErr w:type="spellEnd"/>
      <w:r w:rsidR="00844835" w:rsidRPr="000E700A">
        <w:rPr>
          <w:sz w:val="24"/>
          <w:szCs w:val="24"/>
        </w:rPr>
        <w:t xml:space="preserve"> </w:t>
      </w:r>
      <w:proofErr w:type="spellStart"/>
      <w:r w:rsidR="00844835" w:rsidRPr="000E700A">
        <w:rPr>
          <w:sz w:val="24"/>
          <w:szCs w:val="24"/>
        </w:rPr>
        <w:t>na</w:t>
      </w:r>
      <w:proofErr w:type="spellEnd"/>
      <w:r w:rsidR="00844835" w:rsidRPr="000E700A">
        <w:rPr>
          <w:sz w:val="24"/>
          <w:szCs w:val="24"/>
        </w:rPr>
        <w:t xml:space="preserve"> </w:t>
      </w:r>
      <w:proofErr w:type="spellStart"/>
      <w:r w:rsidR="00844835" w:rsidRPr="000E700A">
        <w:rPr>
          <w:sz w:val="24"/>
          <w:szCs w:val="24"/>
        </w:rPr>
        <w:t>opremu</w:t>
      </w:r>
      <w:proofErr w:type="spellEnd"/>
      <w:r w:rsidR="00844835" w:rsidRPr="000E700A">
        <w:rPr>
          <w:sz w:val="24"/>
          <w:szCs w:val="24"/>
        </w:rPr>
        <w:t xml:space="preserve"> </w:t>
      </w:r>
      <w:proofErr w:type="spellStart"/>
      <w:r w:rsidR="00844835" w:rsidRPr="000E700A">
        <w:rPr>
          <w:sz w:val="24"/>
          <w:szCs w:val="24"/>
        </w:rPr>
        <w:t>nabavljenu</w:t>
      </w:r>
      <w:proofErr w:type="spellEnd"/>
      <w:r w:rsidR="00844835" w:rsidRPr="000E700A">
        <w:rPr>
          <w:sz w:val="24"/>
          <w:szCs w:val="24"/>
        </w:rPr>
        <w:t xml:space="preserve"> </w:t>
      </w:r>
      <w:proofErr w:type="spellStart"/>
      <w:r w:rsidR="00844835" w:rsidRPr="000E700A">
        <w:rPr>
          <w:sz w:val="24"/>
          <w:szCs w:val="24"/>
        </w:rPr>
        <w:t>iz</w:t>
      </w:r>
      <w:proofErr w:type="spellEnd"/>
      <w:r w:rsidR="00844835" w:rsidRPr="000E700A">
        <w:rPr>
          <w:sz w:val="24"/>
          <w:szCs w:val="24"/>
        </w:rPr>
        <w:t xml:space="preserve"> </w:t>
      </w:r>
      <w:proofErr w:type="spellStart"/>
      <w:r w:rsidR="00844835" w:rsidRPr="000E700A">
        <w:rPr>
          <w:sz w:val="24"/>
          <w:szCs w:val="24"/>
        </w:rPr>
        <w:t>izvora</w:t>
      </w:r>
      <w:proofErr w:type="spellEnd"/>
      <w:r w:rsidR="00844835" w:rsidRPr="000E700A">
        <w:rPr>
          <w:sz w:val="24"/>
          <w:szCs w:val="24"/>
        </w:rPr>
        <w:t xml:space="preserve"> </w:t>
      </w:r>
      <w:proofErr w:type="spellStart"/>
      <w:r w:rsidR="00844835" w:rsidRPr="000E700A">
        <w:rPr>
          <w:sz w:val="24"/>
          <w:szCs w:val="24"/>
        </w:rPr>
        <w:t>općih</w:t>
      </w:r>
      <w:proofErr w:type="spellEnd"/>
      <w:r w:rsidR="00844835" w:rsidRPr="000E700A">
        <w:rPr>
          <w:sz w:val="24"/>
          <w:szCs w:val="24"/>
        </w:rPr>
        <w:t xml:space="preserve"> </w:t>
      </w:r>
      <w:proofErr w:type="spellStart"/>
      <w:r w:rsidR="00844835" w:rsidRPr="000E700A">
        <w:rPr>
          <w:sz w:val="24"/>
          <w:szCs w:val="24"/>
        </w:rPr>
        <w:t>prihoda</w:t>
      </w:r>
      <w:proofErr w:type="spellEnd"/>
      <w:r w:rsidR="00844835" w:rsidRPr="000E700A">
        <w:rPr>
          <w:sz w:val="24"/>
          <w:szCs w:val="24"/>
        </w:rPr>
        <w:t xml:space="preserve"> </w:t>
      </w:r>
      <w:proofErr w:type="spellStart"/>
      <w:r w:rsidR="00844835" w:rsidRPr="000E700A">
        <w:rPr>
          <w:sz w:val="24"/>
          <w:szCs w:val="24"/>
        </w:rPr>
        <w:t>i</w:t>
      </w:r>
      <w:proofErr w:type="spellEnd"/>
      <w:r w:rsidR="00844835" w:rsidRPr="000E700A">
        <w:rPr>
          <w:sz w:val="24"/>
          <w:szCs w:val="24"/>
        </w:rPr>
        <w:t xml:space="preserve"> </w:t>
      </w:r>
      <w:proofErr w:type="spellStart"/>
      <w:r w:rsidR="00844835" w:rsidRPr="000E700A">
        <w:rPr>
          <w:sz w:val="24"/>
          <w:szCs w:val="24"/>
        </w:rPr>
        <w:t>primitaka</w:t>
      </w:r>
      <w:proofErr w:type="spellEnd"/>
      <w:r w:rsidR="00844835" w:rsidRPr="000E700A">
        <w:rPr>
          <w:sz w:val="24"/>
          <w:szCs w:val="24"/>
        </w:rPr>
        <w:t xml:space="preserve">, </w:t>
      </w:r>
      <w:proofErr w:type="spellStart"/>
      <w:r w:rsidR="00844835" w:rsidRPr="000E700A">
        <w:rPr>
          <w:sz w:val="24"/>
          <w:szCs w:val="24"/>
        </w:rPr>
        <w:t>najvećim</w:t>
      </w:r>
      <w:proofErr w:type="spellEnd"/>
      <w:r w:rsidR="00844835" w:rsidRPr="000E700A">
        <w:rPr>
          <w:sz w:val="24"/>
          <w:szCs w:val="24"/>
        </w:rPr>
        <w:t xml:space="preserve"> </w:t>
      </w:r>
      <w:proofErr w:type="spellStart"/>
      <w:r w:rsidR="00844835" w:rsidRPr="000E700A">
        <w:rPr>
          <w:sz w:val="24"/>
          <w:szCs w:val="24"/>
        </w:rPr>
        <w:t>dijelom</w:t>
      </w:r>
      <w:proofErr w:type="spellEnd"/>
      <w:r w:rsidR="00844835" w:rsidRPr="000E700A">
        <w:rPr>
          <w:sz w:val="24"/>
          <w:szCs w:val="24"/>
        </w:rPr>
        <w:t xml:space="preserve"> za </w:t>
      </w:r>
      <w:proofErr w:type="spellStart"/>
      <w:r w:rsidR="00844835" w:rsidRPr="000E700A">
        <w:rPr>
          <w:sz w:val="24"/>
          <w:szCs w:val="24"/>
        </w:rPr>
        <w:t>nadogradnju</w:t>
      </w:r>
      <w:proofErr w:type="spellEnd"/>
      <w:r w:rsidR="00844835" w:rsidRPr="000E700A">
        <w:rPr>
          <w:sz w:val="24"/>
          <w:szCs w:val="24"/>
        </w:rPr>
        <w:t xml:space="preserve"> </w:t>
      </w:r>
      <w:proofErr w:type="spellStart"/>
      <w:r w:rsidR="00844835" w:rsidRPr="000E700A">
        <w:rPr>
          <w:sz w:val="24"/>
          <w:szCs w:val="24"/>
        </w:rPr>
        <w:t>komunikacijske</w:t>
      </w:r>
      <w:proofErr w:type="spellEnd"/>
      <w:r w:rsidR="00844835" w:rsidRPr="000E700A">
        <w:rPr>
          <w:sz w:val="24"/>
          <w:szCs w:val="24"/>
        </w:rPr>
        <w:t xml:space="preserve"> </w:t>
      </w:r>
      <w:proofErr w:type="spellStart"/>
      <w:r w:rsidR="00844835" w:rsidRPr="000E700A">
        <w:rPr>
          <w:sz w:val="24"/>
          <w:szCs w:val="24"/>
        </w:rPr>
        <w:t>opreme</w:t>
      </w:r>
      <w:proofErr w:type="spellEnd"/>
      <w:r w:rsidR="00844835" w:rsidRPr="000E700A">
        <w:rPr>
          <w:sz w:val="24"/>
          <w:szCs w:val="24"/>
        </w:rPr>
        <w:t xml:space="preserve"> za CARNET </w:t>
      </w:r>
      <w:proofErr w:type="spellStart"/>
      <w:r w:rsidR="00844835" w:rsidRPr="000E700A">
        <w:rPr>
          <w:sz w:val="24"/>
          <w:szCs w:val="24"/>
        </w:rPr>
        <w:t>mrežu</w:t>
      </w:r>
      <w:proofErr w:type="spellEnd"/>
      <w:r w:rsidR="00844835" w:rsidRPr="000E700A">
        <w:rPr>
          <w:sz w:val="24"/>
          <w:szCs w:val="24"/>
        </w:rPr>
        <w:t xml:space="preserve">, </w:t>
      </w:r>
      <w:proofErr w:type="spellStart"/>
      <w:r w:rsidR="00844835" w:rsidRPr="000E700A">
        <w:rPr>
          <w:sz w:val="24"/>
          <w:szCs w:val="24"/>
        </w:rPr>
        <w:t>čime</w:t>
      </w:r>
      <w:proofErr w:type="spellEnd"/>
      <w:r w:rsidR="00844835" w:rsidRPr="000E700A">
        <w:rPr>
          <w:sz w:val="24"/>
          <w:szCs w:val="24"/>
        </w:rPr>
        <w:t xml:space="preserve"> se </w:t>
      </w:r>
      <w:proofErr w:type="spellStart"/>
      <w:r w:rsidR="00844835" w:rsidRPr="000E700A">
        <w:rPr>
          <w:sz w:val="24"/>
          <w:szCs w:val="24"/>
        </w:rPr>
        <w:t>obnavljaju</w:t>
      </w:r>
      <w:proofErr w:type="spellEnd"/>
      <w:r w:rsidR="00844835" w:rsidRPr="000E700A">
        <w:rPr>
          <w:sz w:val="24"/>
          <w:szCs w:val="24"/>
        </w:rPr>
        <w:t xml:space="preserve"> </w:t>
      </w:r>
      <w:proofErr w:type="spellStart"/>
      <w:r w:rsidR="00844835" w:rsidRPr="000E700A">
        <w:rPr>
          <w:sz w:val="24"/>
          <w:szCs w:val="24"/>
        </w:rPr>
        <w:t>zastarjele</w:t>
      </w:r>
      <w:proofErr w:type="spellEnd"/>
      <w:r w:rsidR="00844835" w:rsidRPr="000E700A">
        <w:rPr>
          <w:sz w:val="24"/>
          <w:szCs w:val="24"/>
        </w:rPr>
        <w:t xml:space="preserve"> </w:t>
      </w:r>
      <w:proofErr w:type="spellStart"/>
      <w:r w:rsidR="00844835" w:rsidRPr="000E700A">
        <w:rPr>
          <w:sz w:val="24"/>
          <w:szCs w:val="24"/>
        </w:rPr>
        <w:t>i</w:t>
      </w:r>
      <w:proofErr w:type="spellEnd"/>
      <w:r w:rsidR="00844835" w:rsidRPr="000E700A">
        <w:rPr>
          <w:sz w:val="24"/>
          <w:szCs w:val="24"/>
        </w:rPr>
        <w:t xml:space="preserve"> </w:t>
      </w:r>
      <w:proofErr w:type="spellStart"/>
      <w:r w:rsidR="00844835" w:rsidRPr="000E700A">
        <w:rPr>
          <w:sz w:val="24"/>
          <w:szCs w:val="24"/>
        </w:rPr>
        <w:t>neadekvatne</w:t>
      </w:r>
      <w:proofErr w:type="spellEnd"/>
      <w:r w:rsidR="00844835" w:rsidRPr="000E700A">
        <w:rPr>
          <w:sz w:val="24"/>
          <w:szCs w:val="24"/>
        </w:rPr>
        <w:t xml:space="preserve"> </w:t>
      </w:r>
      <w:proofErr w:type="spellStart"/>
      <w:r w:rsidR="00844835" w:rsidRPr="000E700A">
        <w:rPr>
          <w:sz w:val="24"/>
          <w:szCs w:val="24"/>
        </w:rPr>
        <w:t>komponente</w:t>
      </w:r>
      <w:proofErr w:type="spellEnd"/>
      <w:r w:rsidR="00844835" w:rsidRPr="000E700A">
        <w:rPr>
          <w:sz w:val="24"/>
          <w:szCs w:val="24"/>
        </w:rPr>
        <w:t xml:space="preserve"> </w:t>
      </w:r>
      <w:proofErr w:type="spellStart"/>
      <w:r w:rsidR="00844835" w:rsidRPr="000E700A">
        <w:rPr>
          <w:sz w:val="24"/>
          <w:szCs w:val="24"/>
        </w:rPr>
        <w:t>potrebne</w:t>
      </w:r>
      <w:proofErr w:type="spellEnd"/>
      <w:r w:rsidR="00844835" w:rsidRPr="000E700A">
        <w:rPr>
          <w:sz w:val="24"/>
          <w:szCs w:val="24"/>
        </w:rPr>
        <w:t xml:space="preserve"> za </w:t>
      </w:r>
      <w:proofErr w:type="spellStart"/>
      <w:r w:rsidR="00844835" w:rsidRPr="000E700A">
        <w:rPr>
          <w:sz w:val="24"/>
          <w:szCs w:val="24"/>
        </w:rPr>
        <w:t>funkcioniranje</w:t>
      </w:r>
      <w:proofErr w:type="spellEnd"/>
      <w:r w:rsidR="00844835" w:rsidRPr="000E700A">
        <w:rPr>
          <w:sz w:val="24"/>
          <w:szCs w:val="24"/>
        </w:rPr>
        <w:t xml:space="preserve"> </w:t>
      </w:r>
      <w:proofErr w:type="spellStart"/>
      <w:r w:rsidR="00844835" w:rsidRPr="000E700A">
        <w:rPr>
          <w:sz w:val="24"/>
          <w:szCs w:val="24"/>
        </w:rPr>
        <w:t>i</w:t>
      </w:r>
      <w:proofErr w:type="spellEnd"/>
      <w:r w:rsidR="00844835" w:rsidRPr="000E700A">
        <w:rPr>
          <w:sz w:val="24"/>
          <w:szCs w:val="24"/>
        </w:rPr>
        <w:t xml:space="preserve"> </w:t>
      </w:r>
      <w:proofErr w:type="spellStart"/>
      <w:r w:rsidR="00844835" w:rsidRPr="000E700A">
        <w:rPr>
          <w:sz w:val="24"/>
          <w:szCs w:val="24"/>
        </w:rPr>
        <w:t>stabilnost</w:t>
      </w:r>
      <w:proofErr w:type="spellEnd"/>
      <w:r w:rsidR="00844835" w:rsidRPr="000E700A">
        <w:rPr>
          <w:sz w:val="24"/>
          <w:szCs w:val="24"/>
        </w:rPr>
        <w:t xml:space="preserve"> CARNET </w:t>
      </w:r>
      <w:proofErr w:type="spellStart"/>
      <w:r w:rsidR="00844835" w:rsidRPr="000E700A">
        <w:rPr>
          <w:sz w:val="24"/>
          <w:szCs w:val="24"/>
        </w:rPr>
        <w:t>mreže</w:t>
      </w:r>
      <w:proofErr w:type="spellEnd"/>
      <w:r w:rsidR="00844835" w:rsidRPr="000E700A">
        <w:rPr>
          <w:sz w:val="24"/>
          <w:szCs w:val="24"/>
        </w:rPr>
        <w:t>.</w:t>
      </w:r>
    </w:p>
    <w:p w14:paraId="64512B03" w14:textId="77777777" w:rsidR="00844835" w:rsidRPr="000E700A" w:rsidRDefault="00844835" w:rsidP="000D12FA">
      <w:pPr>
        <w:spacing w:line="360" w:lineRule="auto"/>
        <w:jc w:val="both"/>
        <w:rPr>
          <w:sz w:val="24"/>
          <w:szCs w:val="24"/>
        </w:rPr>
      </w:pPr>
    </w:p>
    <w:p w14:paraId="0DDDD528" w14:textId="409152CA" w:rsidR="0079295C" w:rsidRPr="000E700A" w:rsidRDefault="0079295C" w:rsidP="000D12FA">
      <w:pPr>
        <w:spacing w:line="360" w:lineRule="auto"/>
        <w:jc w:val="both"/>
        <w:rPr>
          <w:sz w:val="24"/>
          <w:szCs w:val="24"/>
        </w:rPr>
      </w:pPr>
      <w:proofErr w:type="spellStart"/>
      <w:r w:rsidRPr="000E700A">
        <w:rPr>
          <w:sz w:val="24"/>
          <w:szCs w:val="24"/>
        </w:rPr>
        <w:t>I</w:t>
      </w:r>
      <w:r w:rsidR="00FC2135" w:rsidRPr="000E700A">
        <w:rPr>
          <w:sz w:val="24"/>
          <w:szCs w:val="24"/>
        </w:rPr>
        <w:t>znos</w:t>
      </w:r>
      <w:proofErr w:type="spellEnd"/>
      <w:r w:rsidR="00FC2135" w:rsidRPr="000E700A">
        <w:rPr>
          <w:sz w:val="24"/>
          <w:szCs w:val="24"/>
        </w:rPr>
        <w:t xml:space="preserve"> od 756.528,31 EUR </w:t>
      </w:r>
      <w:proofErr w:type="spellStart"/>
      <w:r w:rsidR="00FC2135" w:rsidRPr="000E700A">
        <w:rPr>
          <w:sz w:val="24"/>
          <w:szCs w:val="24"/>
        </w:rPr>
        <w:t>odnosi</w:t>
      </w:r>
      <w:proofErr w:type="spellEnd"/>
      <w:r w:rsidR="00FC2135" w:rsidRPr="000E700A">
        <w:rPr>
          <w:sz w:val="24"/>
          <w:szCs w:val="24"/>
        </w:rPr>
        <w:t xml:space="preserve"> se </w:t>
      </w:r>
      <w:proofErr w:type="spellStart"/>
      <w:r w:rsidR="00FC2135" w:rsidRPr="000E700A">
        <w:rPr>
          <w:sz w:val="24"/>
          <w:szCs w:val="24"/>
        </w:rPr>
        <w:t>na</w:t>
      </w:r>
      <w:proofErr w:type="spellEnd"/>
      <w:r w:rsidR="00FC2135" w:rsidRPr="000E700A">
        <w:rPr>
          <w:sz w:val="24"/>
          <w:szCs w:val="24"/>
        </w:rPr>
        <w:t xml:space="preserve"> </w:t>
      </w:r>
      <w:proofErr w:type="spellStart"/>
      <w:r w:rsidR="00FC2135" w:rsidRPr="000E700A">
        <w:rPr>
          <w:sz w:val="24"/>
          <w:szCs w:val="24"/>
        </w:rPr>
        <w:t>nabavu</w:t>
      </w:r>
      <w:proofErr w:type="spellEnd"/>
      <w:r w:rsidR="00FC2135" w:rsidRPr="000E700A">
        <w:rPr>
          <w:sz w:val="24"/>
          <w:szCs w:val="24"/>
        </w:rPr>
        <w:t xml:space="preserve"> </w:t>
      </w:r>
      <w:proofErr w:type="spellStart"/>
      <w:r w:rsidR="00FC2135" w:rsidRPr="000E700A">
        <w:rPr>
          <w:sz w:val="24"/>
          <w:szCs w:val="24"/>
        </w:rPr>
        <w:t>asistivne</w:t>
      </w:r>
      <w:proofErr w:type="spellEnd"/>
      <w:r w:rsidR="00FC2135" w:rsidRPr="000E700A">
        <w:rPr>
          <w:sz w:val="24"/>
          <w:szCs w:val="24"/>
        </w:rPr>
        <w:t xml:space="preserve"> </w:t>
      </w:r>
      <w:proofErr w:type="spellStart"/>
      <w:r w:rsidR="00FC2135" w:rsidRPr="000E700A">
        <w:rPr>
          <w:sz w:val="24"/>
          <w:szCs w:val="24"/>
        </w:rPr>
        <w:t>tehnologije</w:t>
      </w:r>
      <w:proofErr w:type="spellEnd"/>
      <w:r w:rsidR="00FC2135" w:rsidRPr="000E700A">
        <w:rPr>
          <w:sz w:val="24"/>
          <w:szCs w:val="24"/>
        </w:rPr>
        <w:t xml:space="preserve"> </w:t>
      </w:r>
      <w:proofErr w:type="spellStart"/>
      <w:r w:rsidR="00FC2135" w:rsidRPr="000E700A">
        <w:rPr>
          <w:sz w:val="24"/>
          <w:szCs w:val="24"/>
        </w:rPr>
        <w:t>kojom</w:t>
      </w:r>
      <w:proofErr w:type="spellEnd"/>
      <w:r w:rsidR="00FC2135" w:rsidRPr="000E700A">
        <w:rPr>
          <w:sz w:val="24"/>
          <w:szCs w:val="24"/>
        </w:rPr>
        <w:t xml:space="preserve"> </w:t>
      </w:r>
      <w:proofErr w:type="spellStart"/>
      <w:r w:rsidR="00FC2135" w:rsidRPr="000E700A">
        <w:rPr>
          <w:sz w:val="24"/>
          <w:szCs w:val="24"/>
        </w:rPr>
        <w:t>su</w:t>
      </w:r>
      <w:proofErr w:type="spellEnd"/>
      <w:r w:rsidR="00FC2135" w:rsidRPr="000E700A">
        <w:rPr>
          <w:sz w:val="24"/>
          <w:szCs w:val="24"/>
        </w:rPr>
        <w:t xml:space="preserve"> </w:t>
      </w:r>
      <w:proofErr w:type="spellStart"/>
      <w:r w:rsidR="00FC2135" w:rsidRPr="000E700A">
        <w:rPr>
          <w:sz w:val="24"/>
          <w:szCs w:val="24"/>
        </w:rPr>
        <w:t>opremljeni</w:t>
      </w:r>
      <w:proofErr w:type="spellEnd"/>
      <w:r w:rsidR="00FC2135" w:rsidRPr="000E700A">
        <w:rPr>
          <w:sz w:val="24"/>
          <w:szCs w:val="24"/>
        </w:rPr>
        <w:t xml:space="preserve"> </w:t>
      </w:r>
      <w:proofErr w:type="spellStart"/>
      <w:r w:rsidR="00FC2135" w:rsidRPr="000E700A">
        <w:rPr>
          <w:sz w:val="24"/>
          <w:szCs w:val="24"/>
        </w:rPr>
        <w:t>centri</w:t>
      </w:r>
      <w:proofErr w:type="spellEnd"/>
      <w:r w:rsidR="00FC2135" w:rsidRPr="000E700A">
        <w:rPr>
          <w:sz w:val="24"/>
          <w:szCs w:val="24"/>
        </w:rPr>
        <w:t xml:space="preserve"> za </w:t>
      </w:r>
      <w:proofErr w:type="spellStart"/>
      <w:r w:rsidR="00FC2135" w:rsidRPr="000E700A">
        <w:rPr>
          <w:sz w:val="24"/>
          <w:szCs w:val="24"/>
        </w:rPr>
        <w:t>odgoj</w:t>
      </w:r>
      <w:proofErr w:type="spellEnd"/>
      <w:r w:rsidR="00FC2135" w:rsidRPr="000E700A">
        <w:rPr>
          <w:sz w:val="24"/>
          <w:szCs w:val="24"/>
        </w:rPr>
        <w:t xml:space="preserve"> </w:t>
      </w:r>
      <w:proofErr w:type="spellStart"/>
      <w:r w:rsidR="00FC2135" w:rsidRPr="000E700A">
        <w:rPr>
          <w:sz w:val="24"/>
          <w:szCs w:val="24"/>
        </w:rPr>
        <w:t>i</w:t>
      </w:r>
      <w:proofErr w:type="spellEnd"/>
      <w:r w:rsidR="00FC2135" w:rsidRPr="000E700A">
        <w:rPr>
          <w:sz w:val="24"/>
          <w:szCs w:val="24"/>
        </w:rPr>
        <w:t xml:space="preserve"> </w:t>
      </w:r>
      <w:proofErr w:type="spellStart"/>
      <w:r w:rsidR="00FC2135" w:rsidRPr="000E700A">
        <w:rPr>
          <w:sz w:val="24"/>
          <w:szCs w:val="24"/>
        </w:rPr>
        <w:t>obrazovanje</w:t>
      </w:r>
      <w:proofErr w:type="spellEnd"/>
      <w:r w:rsidR="00844835" w:rsidRPr="000E700A">
        <w:rPr>
          <w:sz w:val="24"/>
          <w:szCs w:val="24"/>
        </w:rPr>
        <w:t xml:space="preserve">, a </w:t>
      </w:r>
      <w:proofErr w:type="spellStart"/>
      <w:r w:rsidR="00844835" w:rsidRPr="000E700A">
        <w:rPr>
          <w:sz w:val="24"/>
          <w:szCs w:val="24"/>
        </w:rPr>
        <w:t>koja</w:t>
      </w:r>
      <w:proofErr w:type="spellEnd"/>
      <w:r w:rsidR="00844835" w:rsidRPr="000E700A">
        <w:rPr>
          <w:sz w:val="24"/>
          <w:szCs w:val="24"/>
        </w:rPr>
        <w:t xml:space="preserve"> je </w:t>
      </w:r>
      <w:proofErr w:type="spellStart"/>
      <w:r w:rsidR="00844835" w:rsidRPr="000E700A">
        <w:rPr>
          <w:sz w:val="24"/>
          <w:szCs w:val="24"/>
        </w:rPr>
        <w:t>nabavljena</w:t>
      </w:r>
      <w:proofErr w:type="spellEnd"/>
      <w:r w:rsidR="00844835" w:rsidRPr="000E700A">
        <w:rPr>
          <w:sz w:val="24"/>
          <w:szCs w:val="24"/>
        </w:rPr>
        <w:t xml:space="preserve"> </w:t>
      </w:r>
      <w:proofErr w:type="spellStart"/>
      <w:r w:rsidR="00FC2135" w:rsidRPr="000E700A">
        <w:rPr>
          <w:sz w:val="24"/>
          <w:szCs w:val="24"/>
        </w:rPr>
        <w:t>kroz</w:t>
      </w:r>
      <w:proofErr w:type="spellEnd"/>
      <w:r w:rsidR="00FC2135" w:rsidRPr="000E700A">
        <w:rPr>
          <w:sz w:val="24"/>
          <w:szCs w:val="24"/>
        </w:rPr>
        <w:t xml:space="preserve"> </w:t>
      </w:r>
      <w:proofErr w:type="spellStart"/>
      <w:r w:rsidR="00FC2135" w:rsidRPr="000E700A">
        <w:rPr>
          <w:sz w:val="24"/>
          <w:szCs w:val="24"/>
        </w:rPr>
        <w:t>projekt</w:t>
      </w:r>
      <w:proofErr w:type="spellEnd"/>
      <w:r w:rsidR="00FC2135" w:rsidRPr="000E700A">
        <w:rPr>
          <w:sz w:val="24"/>
          <w:szCs w:val="24"/>
        </w:rPr>
        <w:t xml:space="preserve"> “ATTEND - </w:t>
      </w:r>
      <w:proofErr w:type="spellStart"/>
      <w:r w:rsidR="00FC2135" w:rsidRPr="000E700A">
        <w:rPr>
          <w:sz w:val="24"/>
          <w:szCs w:val="24"/>
        </w:rPr>
        <w:t>Unaprjeđenje</w:t>
      </w:r>
      <w:proofErr w:type="spellEnd"/>
      <w:r w:rsidR="00FC2135" w:rsidRPr="000E700A">
        <w:rPr>
          <w:sz w:val="24"/>
          <w:szCs w:val="24"/>
        </w:rPr>
        <w:t xml:space="preserve"> </w:t>
      </w:r>
      <w:proofErr w:type="spellStart"/>
      <w:r w:rsidR="00FC2135" w:rsidRPr="000E700A">
        <w:rPr>
          <w:sz w:val="24"/>
          <w:szCs w:val="24"/>
        </w:rPr>
        <w:t>jednakih</w:t>
      </w:r>
      <w:proofErr w:type="spellEnd"/>
      <w:r w:rsidR="00FC2135" w:rsidRPr="000E700A">
        <w:rPr>
          <w:sz w:val="24"/>
          <w:szCs w:val="24"/>
        </w:rPr>
        <w:t xml:space="preserve"> </w:t>
      </w:r>
      <w:proofErr w:type="spellStart"/>
      <w:r w:rsidR="00FC2135" w:rsidRPr="000E700A">
        <w:rPr>
          <w:sz w:val="24"/>
          <w:szCs w:val="24"/>
        </w:rPr>
        <w:t>mogućnosti</w:t>
      </w:r>
      <w:proofErr w:type="spellEnd"/>
      <w:r w:rsidR="00FC2135" w:rsidRPr="000E700A">
        <w:rPr>
          <w:sz w:val="24"/>
          <w:szCs w:val="24"/>
        </w:rPr>
        <w:t xml:space="preserve"> u </w:t>
      </w:r>
      <w:proofErr w:type="spellStart"/>
      <w:r w:rsidR="00FC2135" w:rsidRPr="000E700A">
        <w:rPr>
          <w:sz w:val="24"/>
          <w:szCs w:val="24"/>
        </w:rPr>
        <w:t>obrazovanju</w:t>
      </w:r>
      <w:proofErr w:type="spellEnd"/>
      <w:r w:rsidR="00FC2135" w:rsidRPr="000E700A">
        <w:rPr>
          <w:sz w:val="24"/>
          <w:szCs w:val="24"/>
        </w:rPr>
        <w:t xml:space="preserve"> za </w:t>
      </w:r>
      <w:proofErr w:type="spellStart"/>
      <w:r w:rsidR="00FC2135" w:rsidRPr="000E700A">
        <w:rPr>
          <w:sz w:val="24"/>
          <w:szCs w:val="24"/>
        </w:rPr>
        <w:t>učenike</w:t>
      </w:r>
      <w:proofErr w:type="spellEnd"/>
      <w:r w:rsidR="00FC2135" w:rsidRPr="000E700A">
        <w:rPr>
          <w:sz w:val="24"/>
          <w:szCs w:val="24"/>
        </w:rPr>
        <w:t xml:space="preserve"> s </w:t>
      </w:r>
      <w:proofErr w:type="spellStart"/>
      <w:r w:rsidR="00FC2135" w:rsidRPr="000E700A">
        <w:rPr>
          <w:sz w:val="24"/>
          <w:szCs w:val="24"/>
        </w:rPr>
        <w:t>teškoćama</w:t>
      </w:r>
      <w:proofErr w:type="spellEnd"/>
      <w:r w:rsidR="00FC2135" w:rsidRPr="000E700A">
        <w:rPr>
          <w:sz w:val="24"/>
          <w:szCs w:val="24"/>
        </w:rPr>
        <w:t xml:space="preserve"> u </w:t>
      </w:r>
      <w:proofErr w:type="spellStart"/>
      <w:r w:rsidR="00FC2135" w:rsidRPr="000E700A">
        <w:rPr>
          <w:sz w:val="24"/>
          <w:szCs w:val="24"/>
        </w:rPr>
        <w:t>razvoju</w:t>
      </w:r>
      <w:proofErr w:type="spellEnd"/>
      <w:r w:rsidR="00FC2135" w:rsidRPr="000E700A">
        <w:rPr>
          <w:sz w:val="24"/>
          <w:szCs w:val="24"/>
        </w:rPr>
        <w:t xml:space="preserve">”. </w:t>
      </w:r>
    </w:p>
    <w:p w14:paraId="0B30938B" w14:textId="77777777" w:rsidR="00844835" w:rsidRPr="000E700A" w:rsidRDefault="00844835" w:rsidP="000D12FA">
      <w:pPr>
        <w:spacing w:line="360" w:lineRule="auto"/>
        <w:jc w:val="both"/>
        <w:rPr>
          <w:sz w:val="24"/>
          <w:szCs w:val="24"/>
        </w:rPr>
      </w:pPr>
    </w:p>
    <w:p w14:paraId="4B8E86F3" w14:textId="10175F4C" w:rsidR="0079295C" w:rsidRPr="000E700A" w:rsidRDefault="00FC2135" w:rsidP="000D12FA">
      <w:pPr>
        <w:spacing w:line="360" w:lineRule="auto"/>
        <w:jc w:val="both"/>
        <w:rPr>
          <w:sz w:val="24"/>
          <w:szCs w:val="24"/>
        </w:rPr>
      </w:pPr>
      <w:r w:rsidRPr="000E700A">
        <w:rPr>
          <w:sz w:val="24"/>
          <w:szCs w:val="24"/>
        </w:rPr>
        <w:t xml:space="preserve">Na </w:t>
      </w:r>
      <w:proofErr w:type="spellStart"/>
      <w:r w:rsidRPr="000E700A">
        <w:rPr>
          <w:sz w:val="24"/>
          <w:szCs w:val="24"/>
        </w:rPr>
        <w:t>stavci</w:t>
      </w:r>
      <w:proofErr w:type="spellEnd"/>
      <w:r w:rsidRPr="000E700A">
        <w:rPr>
          <w:sz w:val="24"/>
          <w:szCs w:val="24"/>
        </w:rPr>
        <w:t xml:space="preserve"> </w:t>
      </w:r>
      <w:proofErr w:type="spellStart"/>
      <w:r w:rsidRPr="000E700A">
        <w:rPr>
          <w:sz w:val="24"/>
          <w:szCs w:val="24"/>
        </w:rPr>
        <w:t>su</w:t>
      </w:r>
      <w:proofErr w:type="spellEnd"/>
      <w:r w:rsidRPr="000E700A">
        <w:rPr>
          <w:sz w:val="24"/>
          <w:szCs w:val="24"/>
        </w:rPr>
        <w:t xml:space="preserve"> </w:t>
      </w:r>
      <w:proofErr w:type="spellStart"/>
      <w:r w:rsidRPr="000E700A">
        <w:rPr>
          <w:sz w:val="24"/>
          <w:szCs w:val="24"/>
        </w:rPr>
        <w:t>ostvareni</w:t>
      </w:r>
      <w:proofErr w:type="spellEnd"/>
      <w:r w:rsidRPr="000E700A">
        <w:rPr>
          <w:sz w:val="24"/>
          <w:szCs w:val="24"/>
        </w:rPr>
        <w:t xml:space="preserve"> </w:t>
      </w:r>
      <w:proofErr w:type="spellStart"/>
      <w:r w:rsidRPr="000E700A">
        <w:rPr>
          <w:sz w:val="24"/>
          <w:szCs w:val="24"/>
        </w:rPr>
        <w:t>rashodi</w:t>
      </w:r>
      <w:proofErr w:type="spellEnd"/>
      <w:r w:rsidRPr="000E700A">
        <w:rPr>
          <w:sz w:val="24"/>
          <w:szCs w:val="24"/>
        </w:rPr>
        <w:t xml:space="preserve"> u </w:t>
      </w:r>
      <w:proofErr w:type="spellStart"/>
      <w:r w:rsidRPr="000E700A">
        <w:rPr>
          <w:sz w:val="24"/>
          <w:szCs w:val="24"/>
        </w:rPr>
        <w:t>iznosu</w:t>
      </w:r>
      <w:proofErr w:type="spellEnd"/>
      <w:r w:rsidRPr="000E700A">
        <w:rPr>
          <w:sz w:val="24"/>
          <w:szCs w:val="24"/>
        </w:rPr>
        <w:t xml:space="preserve"> 655.257,51 EUR koji se </w:t>
      </w:r>
      <w:proofErr w:type="spellStart"/>
      <w:r w:rsidRPr="000E700A">
        <w:rPr>
          <w:sz w:val="24"/>
          <w:szCs w:val="24"/>
        </w:rPr>
        <w:t>odnose</w:t>
      </w:r>
      <w:proofErr w:type="spellEnd"/>
      <w:r w:rsidRPr="000E700A">
        <w:rPr>
          <w:sz w:val="24"/>
          <w:szCs w:val="24"/>
        </w:rPr>
        <w:t xml:space="preserve"> </w:t>
      </w:r>
      <w:proofErr w:type="spellStart"/>
      <w:r w:rsidRPr="000E700A">
        <w:rPr>
          <w:sz w:val="24"/>
          <w:szCs w:val="24"/>
        </w:rPr>
        <w:t>na</w:t>
      </w:r>
      <w:proofErr w:type="spellEnd"/>
      <w:r w:rsidRPr="000E700A">
        <w:rPr>
          <w:sz w:val="24"/>
          <w:szCs w:val="24"/>
        </w:rPr>
        <w:t xml:space="preserve"> </w:t>
      </w:r>
      <w:proofErr w:type="spellStart"/>
      <w:r w:rsidR="000D12FA" w:rsidRPr="000E700A">
        <w:rPr>
          <w:sz w:val="24"/>
          <w:szCs w:val="24"/>
        </w:rPr>
        <w:t>opremanje</w:t>
      </w:r>
      <w:proofErr w:type="spellEnd"/>
      <w:r w:rsidR="000D12FA" w:rsidRPr="000E700A">
        <w:rPr>
          <w:sz w:val="24"/>
          <w:szCs w:val="24"/>
        </w:rPr>
        <w:t xml:space="preserve"> </w:t>
      </w:r>
      <w:proofErr w:type="spellStart"/>
      <w:r w:rsidR="000D12FA" w:rsidRPr="000E700A">
        <w:rPr>
          <w:sz w:val="24"/>
          <w:szCs w:val="24"/>
        </w:rPr>
        <w:t>visokoobrazovnih</w:t>
      </w:r>
      <w:proofErr w:type="spellEnd"/>
      <w:r w:rsidR="000D12FA" w:rsidRPr="000E700A">
        <w:rPr>
          <w:sz w:val="24"/>
          <w:szCs w:val="24"/>
        </w:rPr>
        <w:t xml:space="preserve"> </w:t>
      </w:r>
      <w:proofErr w:type="spellStart"/>
      <w:r w:rsidR="000D12FA" w:rsidRPr="000E700A">
        <w:rPr>
          <w:sz w:val="24"/>
          <w:szCs w:val="24"/>
        </w:rPr>
        <w:t>usta</w:t>
      </w:r>
      <w:r w:rsidR="00844835" w:rsidRPr="000E700A">
        <w:rPr>
          <w:sz w:val="24"/>
          <w:szCs w:val="24"/>
        </w:rPr>
        <w:t>nova</w:t>
      </w:r>
      <w:proofErr w:type="spellEnd"/>
      <w:r w:rsidR="000D12FA" w:rsidRPr="000E700A">
        <w:rPr>
          <w:sz w:val="24"/>
          <w:szCs w:val="24"/>
        </w:rPr>
        <w:t xml:space="preserve"> </w:t>
      </w:r>
      <w:proofErr w:type="spellStart"/>
      <w:r w:rsidR="000D12FA" w:rsidRPr="000E700A">
        <w:rPr>
          <w:sz w:val="24"/>
          <w:szCs w:val="24"/>
        </w:rPr>
        <w:t>financiranih</w:t>
      </w:r>
      <w:proofErr w:type="spellEnd"/>
      <w:r w:rsidR="000D12FA" w:rsidRPr="000E700A">
        <w:rPr>
          <w:sz w:val="24"/>
          <w:szCs w:val="24"/>
        </w:rPr>
        <w:t xml:space="preserve"> </w:t>
      </w:r>
      <w:proofErr w:type="spellStart"/>
      <w:r w:rsidR="000D12FA" w:rsidRPr="000E700A">
        <w:rPr>
          <w:sz w:val="24"/>
          <w:szCs w:val="24"/>
        </w:rPr>
        <w:t>iz</w:t>
      </w:r>
      <w:proofErr w:type="spellEnd"/>
      <w:r w:rsidR="000D12FA" w:rsidRPr="000E700A">
        <w:rPr>
          <w:sz w:val="24"/>
          <w:szCs w:val="24"/>
        </w:rPr>
        <w:t xml:space="preserve"> </w:t>
      </w:r>
      <w:proofErr w:type="spellStart"/>
      <w:r w:rsidR="000D12FA" w:rsidRPr="000E700A">
        <w:rPr>
          <w:sz w:val="24"/>
          <w:szCs w:val="24"/>
        </w:rPr>
        <w:t>projekta</w:t>
      </w:r>
      <w:proofErr w:type="spellEnd"/>
      <w:r w:rsidR="000D12FA" w:rsidRPr="000E700A">
        <w:rPr>
          <w:sz w:val="24"/>
          <w:szCs w:val="24"/>
        </w:rPr>
        <w:t xml:space="preserve"> “</w:t>
      </w:r>
      <w:proofErr w:type="spellStart"/>
      <w:r w:rsidR="000D12FA" w:rsidRPr="000E700A">
        <w:rPr>
          <w:sz w:val="24"/>
          <w:szCs w:val="24"/>
        </w:rPr>
        <w:t>Digitalna</w:t>
      </w:r>
      <w:proofErr w:type="spellEnd"/>
      <w:r w:rsidR="000D12FA" w:rsidRPr="000E700A">
        <w:rPr>
          <w:sz w:val="24"/>
          <w:szCs w:val="24"/>
        </w:rPr>
        <w:t xml:space="preserve"> </w:t>
      </w:r>
      <w:proofErr w:type="spellStart"/>
      <w:r w:rsidR="000D12FA" w:rsidRPr="000E700A">
        <w:rPr>
          <w:sz w:val="24"/>
          <w:szCs w:val="24"/>
        </w:rPr>
        <w:t>preobrazba</w:t>
      </w:r>
      <w:proofErr w:type="spellEnd"/>
      <w:r w:rsidR="000D12FA" w:rsidRPr="000E700A">
        <w:rPr>
          <w:sz w:val="24"/>
          <w:szCs w:val="24"/>
        </w:rPr>
        <w:t xml:space="preserve"> </w:t>
      </w:r>
      <w:proofErr w:type="spellStart"/>
      <w:r w:rsidR="000D12FA" w:rsidRPr="000E700A">
        <w:rPr>
          <w:sz w:val="24"/>
          <w:szCs w:val="24"/>
        </w:rPr>
        <w:t>visokog</w:t>
      </w:r>
      <w:proofErr w:type="spellEnd"/>
      <w:r w:rsidR="000D12FA" w:rsidRPr="000E700A">
        <w:rPr>
          <w:sz w:val="24"/>
          <w:szCs w:val="24"/>
        </w:rPr>
        <w:t xml:space="preserve"> </w:t>
      </w:r>
      <w:proofErr w:type="spellStart"/>
      <w:r w:rsidR="000D12FA" w:rsidRPr="000E700A">
        <w:rPr>
          <w:sz w:val="24"/>
          <w:szCs w:val="24"/>
        </w:rPr>
        <w:t>obrazovanja</w:t>
      </w:r>
      <w:proofErr w:type="spellEnd"/>
      <w:r w:rsidR="000D12FA" w:rsidRPr="000E700A">
        <w:rPr>
          <w:sz w:val="24"/>
          <w:szCs w:val="24"/>
        </w:rPr>
        <w:t xml:space="preserve"> e-</w:t>
      </w:r>
      <w:proofErr w:type="spellStart"/>
      <w:r w:rsidR="000D12FA" w:rsidRPr="000E700A">
        <w:rPr>
          <w:sz w:val="24"/>
          <w:szCs w:val="24"/>
        </w:rPr>
        <w:t>Sveučilišta</w:t>
      </w:r>
      <w:proofErr w:type="spellEnd"/>
      <w:r w:rsidR="000D12FA" w:rsidRPr="000E700A">
        <w:rPr>
          <w:sz w:val="24"/>
          <w:szCs w:val="24"/>
        </w:rPr>
        <w:t>”.</w:t>
      </w:r>
      <w:r w:rsidRPr="000E700A">
        <w:rPr>
          <w:sz w:val="24"/>
          <w:szCs w:val="24"/>
        </w:rPr>
        <w:t xml:space="preserve"> </w:t>
      </w:r>
    </w:p>
    <w:p w14:paraId="59DC984C" w14:textId="537C6835" w:rsidR="005F29DC" w:rsidRDefault="004B6034" w:rsidP="00EE20D1">
      <w:pPr>
        <w:spacing w:line="360" w:lineRule="auto"/>
        <w:jc w:val="both"/>
        <w:rPr>
          <w:sz w:val="24"/>
          <w:szCs w:val="24"/>
        </w:rPr>
      </w:pPr>
      <w:proofErr w:type="spellStart"/>
      <w:r w:rsidRPr="000E700A">
        <w:rPr>
          <w:sz w:val="24"/>
          <w:szCs w:val="24"/>
        </w:rPr>
        <w:t>Kroz</w:t>
      </w:r>
      <w:proofErr w:type="spellEnd"/>
      <w:r w:rsidRPr="000E700A">
        <w:rPr>
          <w:sz w:val="24"/>
          <w:szCs w:val="24"/>
        </w:rPr>
        <w:t xml:space="preserve"> </w:t>
      </w:r>
      <w:proofErr w:type="spellStart"/>
      <w:r w:rsidRPr="000E700A">
        <w:rPr>
          <w:sz w:val="24"/>
          <w:szCs w:val="24"/>
        </w:rPr>
        <w:t>projekt</w:t>
      </w:r>
      <w:proofErr w:type="spellEnd"/>
      <w:r w:rsidRPr="000E700A">
        <w:rPr>
          <w:sz w:val="24"/>
          <w:szCs w:val="24"/>
        </w:rPr>
        <w:t xml:space="preserve"> </w:t>
      </w:r>
      <w:proofErr w:type="spellStart"/>
      <w:r w:rsidRPr="000E700A">
        <w:rPr>
          <w:sz w:val="24"/>
          <w:szCs w:val="24"/>
        </w:rPr>
        <w:t>Podrška</w:t>
      </w:r>
      <w:proofErr w:type="spellEnd"/>
      <w:r w:rsidRPr="000E700A">
        <w:rPr>
          <w:sz w:val="24"/>
          <w:szCs w:val="24"/>
        </w:rPr>
        <w:t xml:space="preserve"> u </w:t>
      </w:r>
      <w:proofErr w:type="spellStart"/>
      <w:r w:rsidRPr="000E700A">
        <w:rPr>
          <w:sz w:val="24"/>
          <w:szCs w:val="24"/>
        </w:rPr>
        <w:t>primjeni</w:t>
      </w:r>
      <w:proofErr w:type="spellEnd"/>
      <w:r w:rsidRPr="000E700A">
        <w:rPr>
          <w:sz w:val="24"/>
          <w:szCs w:val="24"/>
        </w:rPr>
        <w:t xml:space="preserve"> </w:t>
      </w:r>
      <w:proofErr w:type="spellStart"/>
      <w:r w:rsidRPr="000E700A">
        <w:rPr>
          <w:sz w:val="24"/>
          <w:szCs w:val="24"/>
        </w:rPr>
        <w:t>digitalnih</w:t>
      </w:r>
      <w:proofErr w:type="spellEnd"/>
      <w:r w:rsidRPr="000E700A">
        <w:rPr>
          <w:sz w:val="24"/>
          <w:szCs w:val="24"/>
        </w:rPr>
        <w:t xml:space="preserve"> </w:t>
      </w:r>
      <w:proofErr w:type="spellStart"/>
      <w:r w:rsidRPr="000E700A">
        <w:rPr>
          <w:sz w:val="24"/>
          <w:szCs w:val="24"/>
        </w:rPr>
        <w:t>tehnologija</w:t>
      </w:r>
      <w:proofErr w:type="spellEnd"/>
      <w:r w:rsidRPr="000E700A">
        <w:rPr>
          <w:sz w:val="24"/>
          <w:szCs w:val="24"/>
        </w:rPr>
        <w:t xml:space="preserve"> u </w:t>
      </w:r>
      <w:proofErr w:type="spellStart"/>
      <w:r w:rsidRPr="000E700A">
        <w:rPr>
          <w:sz w:val="24"/>
          <w:szCs w:val="24"/>
        </w:rPr>
        <w:t>obrazovanju</w:t>
      </w:r>
      <w:proofErr w:type="spellEnd"/>
      <w:r w:rsidRPr="000E700A">
        <w:rPr>
          <w:sz w:val="24"/>
          <w:szCs w:val="24"/>
        </w:rPr>
        <w:t xml:space="preserve"> </w:t>
      </w:r>
      <w:r w:rsidR="005E706A" w:rsidRPr="000E700A">
        <w:rPr>
          <w:sz w:val="24"/>
          <w:szCs w:val="24"/>
        </w:rPr>
        <w:t>–</w:t>
      </w:r>
      <w:r w:rsidRPr="000E700A">
        <w:rPr>
          <w:sz w:val="24"/>
          <w:szCs w:val="24"/>
        </w:rPr>
        <w:t xml:space="preserve"> </w:t>
      </w:r>
      <w:proofErr w:type="spellStart"/>
      <w:r w:rsidRPr="000E700A">
        <w:rPr>
          <w:sz w:val="24"/>
          <w:szCs w:val="24"/>
        </w:rPr>
        <w:t>BrAIn</w:t>
      </w:r>
      <w:proofErr w:type="spellEnd"/>
      <w:r w:rsidR="005E706A" w:rsidRPr="000E700A">
        <w:rPr>
          <w:sz w:val="24"/>
          <w:szCs w:val="24"/>
        </w:rPr>
        <w:t xml:space="preserve"> </w:t>
      </w:r>
      <w:proofErr w:type="spellStart"/>
      <w:r w:rsidR="005E706A" w:rsidRPr="000E700A">
        <w:rPr>
          <w:sz w:val="24"/>
          <w:szCs w:val="24"/>
        </w:rPr>
        <w:t>najznačajni</w:t>
      </w:r>
      <w:proofErr w:type="spellEnd"/>
      <w:r w:rsidR="005E706A" w:rsidRPr="000E700A">
        <w:rPr>
          <w:sz w:val="24"/>
          <w:szCs w:val="24"/>
        </w:rPr>
        <w:t xml:space="preserve"> </w:t>
      </w:r>
      <w:proofErr w:type="spellStart"/>
      <w:r w:rsidR="005E706A" w:rsidRPr="000E700A">
        <w:rPr>
          <w:sz w:val="24"/>
          <w:szCs w:val="24"/>
        </w:rPr>
        <w:t>rashod</w:t>
      </w:r>
      <w:proofErr w:type="spellEnd"/>
      <w:r w:rsidR="005E706A" w:rsidRPr="000E700A">
        <w:rPr>
          <w:sz w:val="24"/>
          <w:szCs w:val="24"/>
        </w:rPr>
        <w:t xml:space="preserve"> </w:t>
      </w:r>
      <w:proofErr w:type="spellStart"/>
      <w:r w:rsidR="005E706A" w:rsidRPr="000E700A">
        <w:rPr>
          <w:sz w:val="24"/>
          <w:szCs w:val="24"/>
        </w:rPr>
        <w:t>unutar</w:t>
      </w:r>
      <w:proofErr w:type="spellEnd"/>
      <w:r w:rsidR="005E706A" w:rsidRPr="000E700A">
        <w:rPr>
          <w:sz w:val="24"/>
          <w:szCs w:val="24"/>
        </w:rPr>
        <w:t xml:space="preserve"> </w:t>
      </w:r>
      <w:proofErr w:type="spellStart"/>
      <w:r w:rsidR="005E706A" w:rsidRPr="000E700A">
        <w:rPr>
          <w:sz w:val="24"/>
          <w:szCs w:val="24"/>
        </w:rPr>
        <w:t>ove</w:t>
      </w:r>
      <w:proofErr w:type="spellEnd"/>
      <w:r w:rsidR="005E706A" w:rsidRPr="000E700A">
        <w:rPr>
          <w:sz w:val="24"/>
          <w:szCs w:val="24"/>
        </w:rPr>
        <w:t xml:space="preserve"> </w:t>
      </w:r>
      <w:proofErr w:type="spellStart"/>
      <w:r w:rsidR="005E706A" w:rsidRPr="000E700A">
        <w:rPr>
          <w:sz w:val="24"/>
          <w:szCs w:val="24"/>
        </w:rPr>
        <w:t>kategorije</w:t>
      </w:r>
      <w:proofErr w:type="spellEnd"/>
      <w:r w:rsidR="005E706A" w:rsidRPr="000E700A">
        <w:rPr>
          <w:sz w:val="24"/>
          <w:szCs w:val="24"/>
        </w:rPr>
        <w:t xml:space="preserve"> </w:t>
      </w:r>
      <w:proofErr w:type="spellStart"/>
      <w:r w:rsidR="005E706A" w:rsidRPr="000E700A">
        <w:rPr>
          <w:sz w:val="24"/>
          <w:szCs w:val="24"/>
        </w:rPr>
        <w:t>odnosi</w:t>
      </w:r>
      <w:proofErr w:type="spellEnd"/>
      <w:r w:rsidR="005E706A" w:rsidRPr="000E700A">
        <w:rPr>
          <w:sz w:val="24"/>
          <w:szCs w:val="24"/>
        </w:rPr>
        <w:t xml:space="preserve"> se </w:t>
      </w:r>
      <w:proofErr w:type="spellStart"/>
      <w:r w:rsidR="005E706A" w:rsidRPr="000E700A">
        <w:rPr>
          <w:sz w:val="24"/>
          <w:szCs w:val="24"/>
        </w:rPr>
        <w:t>na</w:t>
      </w:r>
      <w:proofErr w:type="spellEnd"/>
      <w:r w:rsidR="005E706A" w:rsidRPr="000E700A">
        <w:rPr>
          <w:sz w:val="24"/>
          <w:szCs w:val="24"/>
        </w:rPr>
        <w:t xml:space="preserve"> </w:t>
      </w:r>
      <w:proofErr w:type="spellStart"/>
      <w:r w:rsidR="005E706A" w:rsidRPr="000E700A">
        <w:rPr>
          <w:sz w:val="24"/>
          <w:szCs w:val="24"/>
        </w:rPr>
        <w:t>usluge</w:t>
      </w:r>
      <w:proofErr w:type="spellEnd"/>
      <w:r w:rsidR="005E706A" w:rsidRPr="000E700A">
        <w:rPr>
          <w:sz w:val="24"/>
          <w:szCs w:val="24"/>
        </w:rPr>
        <w:t xml:space="preserve"> </w:t>
      </w:r>
      <w:proofErr w:type="spellStart"/>
      <w:r w:rsidR="005E706A" w:rsidRPr="000E700A">
        <w:rPr>
          <w:sz w:val="24"/>
          <w:szCs w:val="24"/>
        </w:rPr>
        <w:t>nadogradnje</w:t>
      </w:r>
      <w:proofErr w:type="spellEnd"/>
      <w:r w:rsidR="005E706A" w:rsidRPr="000E700A">
        <w:rPr>
          <w:sz w:val="24"/>
          <w:szCs w:val="24"/>
        </w:rPr>
        <w:t xml:space="preserve"> </w:t>
      </w:r>
      <w:proofErr w:type="spellStart"/>
      <w:r w:rsidR="005E706A" w:rsidRPr="000E700A">
        <w:rPr>
          <w:sz w:val="24"/>
          <w:szCs w:val="24"/>
        </w:rPr>
        <w:t>i</w:t>
      </w:r>
      <w:proofErr w:type="spellEnd"/>
      <w:r w:rsidR="005E706A" w:rsidRPr="000E700A">
        <w:rPr>
          <w:sz w:val="24"/>
          <w:szCs w:val="24"/>
        </w:rPr>
        <w:t xml:space="preserve"> </w:t>
      </w:r>
      <w:proofErr w:type="spellStart"/>
      <w:r w:rsidR="005E706A" w:rsidRPr="000E700A">
        <w:rPr>
          <w:sz w:val="24"/>
          <w:szCs w:val="24"/>
        </w:rPr>
        <w:t>održavanje</w:t>
      </w:r>
      <w:proofErr w:type="spellEnd"/>
      <w:r w:rsidR="005E706A" w:rsidRPr="000E700A">
        <w:rPr>
          <w:sz w:val="24"/>
          <w:szCs w:val="24"/>
        </w:rPr>
        <w:t xml:space="preserve"> </w:t>
      </w:r>
      <w:proofErr w:type="spellStart"/>
      <w:r w:rsidR="005E706A" w:rsidRPr="000E700A">
        <w:rPr>
          <w:sz w:val="24"/>
          <w:szCs w:val="24"/>
        </w:rPr>
        <w:t>sustava</w:t>
      </w:r>
      <w:proofErr w:type="spellEnd"/>
      <w:r w:rsidR="005E706A" w:rsidRPr="000E700A">
        <w:rPr>
          <w:sz w:val="24"/>
          <w:szCs w:val="24"/>
        </w:rPr>
        <w:t xml:space="preserve"> CARNET </w:t>
      </w:r>
      <w:proofErr w:type="spellStart"/>
      <w:r w:rsidR="005E706A" w:rsidRPr="000E700A">
        <w:rPr>
          <w:sz w:val="24"/>
          <w:szCs w:val="24"/>
        </w:rPr>
        <w:t>privatnost</w:t>
      </w:r>
      <w:proofErr w:type="spellEnd"/>
      <w:r w:rsidR="003F4956" w:rsidRPr="000E700A">
        <w:rPr>
          <w:sz w:val="24"/>
          <w:szCs w:val="24"/>
        </w:rPr>
        <w:t xml:space="preserve"> 455.625 EUR</w:t>
      </w:r>
    </w:p>
    <w:p w14:paraId="46A7DEC4" w14:textId="77777777" w:rsidR="00880666" w:rsidRPr="000E700A" w:rsidRDefault="00880666" w:rsidP="00EE20D1">
      <w:pPr>
        <w:spacing w:line="360" w:lineRule="auto"/>
        <w:jc w:val="both"/>
        <w:rPr>
          <w:sz w:val="24"/>
          <w:szCs w:val="24"/>
        </w:rPr>
      </w:pPr>
    </w:p>
    <w:p w14:paraId="0C6D3593" w14:textId="3D78076F" w:rsidR="00003563" w:rsidRPr="000E700A" w:rsidRDefault="00003563" w:rsidP="00003563">
      <w:pPr>
        <w:spacing w:line="360" w:lineRule="auto"/>
        <w:jc w:val="both"/>
        <w:rPr>
          <w:b/>
          <w:sz w:val="24"/>
          <w:szCs w:val="24"/>
          <w:lang w:val="hr-HR"/>
        </w:rPr>
      </w:pPr>
      <w:r w:rsidRPr="000E700A">
        <w:rPr>
          <w:bCs/>
          <w:sz w:val="24"/>
          <w:szCs w:val="24"/>
          <w:lang w:val="hr-HR"/>
        </w:rPr>
        <w:t xml:space="preserve">U strukturi rashoda po ekonomskoj klasifikaciji vidljivo je da je na nabavu nefinancijske imovine utrošeno </w:t>
      </w:r>
      <w:r w:rsidR="006A69F1" w:rsidRPr="000E700A">
        <w:rPr>
          <w:bCs/>
          <w:sz w:val="24"/>
          <w:szCs w:val="24"/>
          <w:lang w:val="hr-HR"/>
        </w:rPr>
        <w:t>17</w:t>
      </w:r>
      <w:r w:rsidRPr="000E700A">
        <w:rPr>
          <w:bCs/>
          <w:sz w:val="24"/>
          <w:szCs w:val="24"/>
          <w:lang w:val="hr-HR"/>
        </w:rPr>
        <w:t>,</w:t>
      </w:r>
      <w:r w:rsidR="006A69F1" w:rsidRPr="000E700A">
        <w:rPr>
          <w:bCs/>
          <w:sz w:val="24"/>
          <w:szCs w:val="24"/>
          <w:lang w:val="hr-HR"/>
        </w:rPr>
        <w:t>07</w:t>
      </w:r>
      <w:r w:rsidRPr="000E700A">
        <w:rPr>
          <w:bCs/>
          <w:sz w:val="24"/>
          <w:szCs w:val="24"/>
          <w:lang w:val="hr-HR"/>
        </w:rPr>
        <w:t>% od ukupnih rashoda, a</w:t>
      </w:r>
      <w:r w:rsidR="0079295C" w:rsidRPr="000E700A">
        <w:rPr>
          <w:bCs/>
          <w:sz w:val="24"/>
          <w:szCs w:val="24"/>
          <w:lang w:val="hr-HR"/>
        </w:rPr>
        <w:t xml:space="preserve"> 82,93 % na rashode poslovanja</w:t>
      </w:r>
    </w:p>
    <w:p w14:paraId="54ACF3DC" w14:textId="77777777" w:rsidR="00003563" w:rsidRPr="000E700A" w:rsidRDefault="00003563" w:rsidP="00003563">
      <w:pPr>
        <w:spacing w:line="360" w:lineRule="auto"/>
        <w:jc w:val="both"/>
        <w:rPr>
          <w:b/>
          <w:sz w:val="24"/>
          <w:szCs w:val="24"/>
          <w:lang w:val="hr-HR"/>
        </w:rPr>
      </w:pPr>
    </w:p>
    <w:tbl>
      <w:tblPr>
        <w:tblW w:w="9800" w:type="dxa"/>
        <w:tblInd w:w="-20" w:type="dxa"/>
        <w:tblLook w:val="04A0" w:firstRow="1" w:lastRow="0" w:firstColumn="1" w:lastColumn="0" w:noHBand="0" w:noVBand="1"/>
      </w:tblPr>
      <w:tblGrid>
        <w:gridCol w:w="1896"/>
        <w:gridCol w:w="3081"/>
        <w:gridCol w:w="2693"/>
        <w:gridCol w:w="2130"/>
      </w:tblGrid>
      <w:tr w:rsidR="006A69F1" w:rsidRPr="000E700A" w14:paraId="5DC23F7F" w14:textId="77777777" w:rsidTr="006A69F1">
        <w:trPr>
          <w:trHeight w:val="855"/>
        </w:trPr>
        <w:tc>
          <w:tcPr>
            <w:tcW w:w="4977"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CEFA44D" w14:textId="77777777" w:rsidR="006A69F1" w:rsidRPr="000E700A" w:rsidRDefault="006A69F1" w:rsidP="006A69F1">
            <w:pPr>
              <w:jc w:val="center"/>
              <w:rPr>
                <w:b/>
                <w:bCs/>
                <w:sz w:val="24"/>
                <w:szCs w:val="24"/>
                <w:lang w:val="hr-HR" w:eastAsia="hr-HR"/>
                <w14:ligatures w14:val="standardContextual"/>
              </w:rPr>
            </w:pPr>
            <w:r w:rsidRPr="000E700A">
              <w:rPr>
                <w:b/>
                <w:bCs/>
                <w:sz w:val="24"/>
                <w:szCs w:val="24"/>
                <w:lang w:val="hr-HR" w:eastAsia="hr-HR"/>
                <w14:ligatures w14:val="standardContextual"/>
              </w:rPr>
              <w:t>BROJČANA OZNAKA I NAZIV</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14:paraId="307EF21E" w14:textId="77777777" w:rsidR="006A69F1" w:rsidRPr="000E700A" w:rsidRDefault="006A69F1" w:rsidP="006A69F1">
            <w:pPr>
              <w:jc w:val="center"/>
              <w:rPr>
                <w:b/>
                <w:bCs/>
                <w:sz w:val="24"/>
                <w:szCs w:val="24"/>
                <w:lang w:val="hr-HR" w:eastAsia="hr-HR"/>
                <w14:ligatures w14:val="standardContextual"/>
              </w:rPr>
            </w:pPr>
            <w:r w:rsidRPr="000E700A">
              <w:rPr>
                <w:b/>
                <w:bCs/>
                <w:sz w:val="24"/>
                <w:szCs w:val="24"/>
                <w:lang w:val="hr-HR" w:eastAsia="hr-HR"/>
                <w14:ligatures w14:val="standardContextual"/>
              </w:rPr>
              <w:t xml:space="preserve">OSTVARENJE /IZVRŠENJE </w:t>
            </w:r>
            <w:r w:rsidRPr="000E700A">
              <w:rPr>
                <w:b/>
                <w:bCs/>
                <w:sz w:val="24"/>
                <w:szCs w:val="24"/>
                <w:lang w:val="hr-HR" w:eastAsia="hr-HR"/>
                <w14:ligatures w14:val="standardContextual"/>
              </w:rPr>
              <w:br/>
              <w:t>01.2024. - 12.2024.</w:t>
            </w:r>
          </w:p>
        </w:tc>
        <w:tc>
          <w:tcPr>
            <w:tcW w:w="2130" w:type="dxa"/>
            <w:tcBorders>
              <w:top w:val="single" w:sz="4" w:space="0" w:color="auto"/>
              <w:left w:val="nil"/>
              <w:bottom w:val="single" w:sz="4" w:space="0" w:color="auto"/>
              <w:right w:val="single" w:sz="4" w:space="0" w:color="auto"/>
            </w:tcBorders>
            <w:shd w:val="clear" w:color="000000" w:fill="D9D9D9"/>
            <w:vAlign w:val="center"/>
            <w:hideMark/>
          </w:tcPr>
          <w:p w14:paraId="111B4211" w14:textId="77777777" w:rsidR="006A69F1" w:rsidRPr="000E700A" w:rsidRDefault="006A69F1" w:rsidP="006A69F1">
            <w:pPr>
              <w:jc w:val="center"/>
              <w:rPr>
                <w:b/>
                <w:bCs/>
                <w:sz w:val="24"/>
                <w:szCs w:val="24"/>
                <w:lang w:val="hr-HR" w:eastAsia="hr-HR"/>
                <w14:ligatures w14:val="standardContextual"/>
              </w:rPr>
            </w:pPr>
            <w:r w:rsidRPr="000E700A">
              <w:rPr>
                <w:b/>
                <w:bCs/>
                <w:sz w:val="24"/>
                <w:szCs w:val="24"/>
                <w:lang w:val="hr-HR" w:eastAsia="hr-HR"/>
                <w14:ligatures w14:val="standardContextual"/>
              </w:rPr>
              <w:t>Udio vrste rashoda u ukupnim rashodima</w:t>
            </w:r>
          </w:p>
        </w:tc>
      </w:tr>
      <w:tr w:rsidR="006A69F1" w:rsidRPr="000E700A" w14:paraId="06793D76" w14:textId="77777777" w:rsidTr="006A69F1">
        <w:trPr>
          <w:trHeight w:val="300"/>
        </w:trPr>
        <w:tc>
          <w:tcPr>
            <w:tcW w:w="497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00AC342" w14:textId="77777777" w:rsidR="006A69F1" w:rsidRPr="000E700A" w:rsidRDefault="006A69F1" w:rsidP="006A69F1">
            <w:pPr>
              <w:jc w:val="center"/>
              <w:rPr>
                <w:b/>
                <w:bCs/>
                <w:sz w:val="24"/>
                <w:szCs w:val="24"/>
                <w:lang w:val="hr-HR" w:eastAsia="hr-HR"/>
                <w14:ligatures w14:val="standardContextual"/>
              </w:rPr>
            </w:pPr>
            <w:r w:rsidRPr="000E700A">
              <w:rPr>
                <w:b/>
                <w:bCs/>
                <w:sz w:val="24"/>
                <w:szCs w:val="24"/>
                <w:lang w:val="hr-HR" w:eastAsia="hr-HR"/>
                <w14:ligatures w14:val="standardContextual"/>
              </w:rPr>
              <w:t>1</w:t>
            </w:r>
          </w:p>
        </w:tc>
        <w:tc>
          <w:tcPr>
            <w:tcW w:w="2693" w:type="dxa"/>
            <w:tcBorders>
              <w:top w:val="nil"/>
              <w:left w:val="nil"/>
              <w:bottom w:val="single" w:sz="4" w:space="0" w:color="auto"/>
              <w:right w:val="single" w:sz="4" w:space="0" w:color="auto"/>
            </w:tcBorders>
            <w:shd w:val="clear" w:color="000000" w:fill="D9D9D9"/>
            <w:noWrap/>
            <w:vAlign w:val="center"/>
            <w:hideMark/>
          </w:tcPr>
          <w:p w14:paraId="37F15F78" w14:textId="77777777" w:rsidR="006A69F1" w:rsidRPr="000E700A" w:rsidRDefault="006A69F1" w:rsidP="006A69F1">
            <w:pPr>
              <w:jc w:val="center"/>
              <w:rPr>
                <w:b/>
                <w:bCs/>
                <w:sz w:val="24"/>
                <w:szCs w:val="24"/>
                <w:lang w:val="hr-HR" w:eastAsia="hr-HR"/>
                <w14:ligatures w14:val="standardContextual"/>
              </w:rPr>
            </w:pPr>
            <w:r w:rsidRPr="000E700A">
              <w:rPr>
                <w:b/>
                <w:bCs/>
                <w:sz w:val="24"/>
                <w:szCs w:val="24"/>
                <w:lang w:val="hr-HR" w:eastAsia="hr-HR"/>
                <w14:ligatures w14:val="standardContextual"/>
              </w:rPr>
              <w:t>5</w:t>
            </w:r>
          </w:p>
        </w:tc>
        <w:tc>
          <w:tcPr>
            <w:tcW w:w="2130" w:type="dxa"/>
            <w:tcBorders>
              <w:top w:val="nil"/>
              <w:left w:val="nil"/>
              <w:bottom w:val="single" w:sz="4" w:space="0" w:color="auto"/>
              <w:right w:val="single" w:sz="4" w:space="0" w:color="auto"/>
            </w:tcBorders>
            <w:shd w:val="clear" w:color="000000" w:fill="D9D9D9"/>
            <w:noWrap/>
            <w:vAlign w:val="center"/>
            <w:hideMark/>
          </w:tcPr>
          <w:p w14:paraId="41E843AE" w14:textId="77777777" w:rsidR="006A69F1" w:rsidRPr="000E700A" w:rsidRDefault="006A69F1" w:rsidP="006A69F1">
            <w:pPr>
              <w:jc w:val="center"/>
              <w:rPr>
                <w:b/>
                <w:bCs/>
                <w:sz w:val="24"/>
                <w:szCs w:val="24"/>
                <w:lang w:val="hr-HR" w:eastAsia="hr-HR"/>
                <w14:ligatures w14:val="standardContextual"/>
              </w:rPr>
            </w:pPr>
            <w:r w:rsidRPr="000E700A">
              <w:rPr>
                <w:b/>
                <w:bCs/>
                <w:sz w:val="24"/>
                <w:szCs w:val="24"/>
                <w:lang w:val="hr-HR" w:eastAsia="hr-HR"/>
                <w14:ligatures w14:val="standardContextual"/>
              </w:rPr>
              <w:t> </w:t>
            </w:r>
          </w:p>
        </w:tc>
      </w:tr>
      <w:tr w:rsidR="006A69F1" w:rsidRPr="000E700A" w14:paraId="028EEB2B" w14:textId="77777777" w:rsidTr="006A69F1">
        <w:trPr>
          <w:trHeight w:val="300"/>
        </w:trPr>
        <w:tc>
          <w:tcPr>
            <w:tcW w:w="1616" w:type="dxa"/>
            <w:tcBorders>
              <w:top w:val="nil"/>
              <w:left w:val="single" w:sz="4" w:space="0" w:color="auto"/>
              <w:bottom w:val="single" w:sz="4" w:space="0" w:color="auto"/>
              <w:right w:val="single" w:sz="4" w:space="0" w:color="auto"/>
            </w:tcBorders>
            <w:shd w:val="clear" w:color="000000" w:fill="DAF2D0"/>
            <w:noWrap/>
            <w:vAlign w:val="center"/>
            <w:hideMark/>
          </w:tcPr>
          <w:p w14:paraId="743783C6" w14:textId="77777777" w:rsidR="006A69F1" w:rsidRPr="000E700A" w:rsidRDefault="006A69F1" w:rsidP="006A69F1">
            <w:pPr>
              <w:jc w:val="center"/>
              <w:rPr>
                <w:sz w:val="24"/>
                <w:szCs w:val="24"/>
                <w:lang w:val="hr-HR" w:eastAsia="hr-HR"/>
                <w14:ligatures w14:val="standardContextual"/>
              </w:rPr>
            </w:pPr>
            <w:r w:rsidRPr="000E700A">
              <w:rPr>
                <w:sz w:val="24"/>
                <w:szCs w:val="24"/>
                <w:lang w:val="hr-HR" w:eastAsia="hr-HR"/>
                <w14:ligatures w14:val="standardContextual"/>
              </w:rPr>
              <w:t> </w:t>
            </w:r>
          </w:p>
        </w:tc>
        <w:tc>
          <w:tcPr>
            <w:tcW w:w="3361" w:type="dxa"/>
            <w:tcBorders>
              <w:top w:val="nil"/>
              <w:left w:val="nil"/>
              <w:bottom w:val="single" w:sz="4" w:space="0" w:color="auto"/>
              <w:right w:val="single" w:sz="4" w:space="0" w:color="auto"/>
            </w:tcBorders>
            <w:shd w:val="clear" w:color="000000" w:fill="DAF2D0"/>
            <w:hideMark/>
          </w:tcPr>
          <w:p w14:paraId="10C72DB5" w14:textId="77777777" w:rsidR="006A69F1" w:rsidRPr="000E700A" w:rsidRDefault="006A69F1" w:rsidP="006A69F1">
            <w:pPr>
              <w:rPr>
                <w:b/>
                <w:bCs/>
                <w:sz w:val="24"/>
                <w:szCs w:val="24"/>
                <w:lang w:val="hr-HR" w:eastAsia="hr-HR"/>
                <w14:ligatures w14:val="standardContextual"/>
              </w:rPr>
            </w:pPr>
            <w:r w:rsidRPr="000E700A">
              <w:rPr>
                <w:b/>
                <w:bCs/>
                <w:sz w:val="24"/>
                <w:szCs w:val="24"/>
                <w:lang w:val="hr-HR" w:eastAsia="hr-HR"/>
                <w14:ligatures w14:val="standardContextual"/>
              </w:rPr>
              <w:t>UKUPNI RASHODI</w:t>
            </w:r>
          </w:p>
        </w:tc>
        <w:tc>
          <w:tcPr>
            <w:tcW w:w="2693" w:type="dxa"/>
            <w:tcBorders>
              <w:top w:val="nil"/>
              <w:left w:val="nil"/>
              <w:bottom w:val="single" w:sz="4" w:space="0" w:color="auto"/>
              <w:right w:val="single" w:sz="4" w:space="0" w:color="auto"/>
            </w:tcBorders>
            <w:shd w:val="clear" w:color="000000" w:fill="DAF2D0"/>
            <w:noWrap/>
            <w:vAlign w:val="center"/>
            <w:hideMark/>
          </w:tcPr>
          <w:p w14:paraId="44312616" w14:textId="77777777" w:rsidR="006A69F1" w:rsidRPr="000E700A" w:rsidRDefault="006A69F1" w:rsidP="006A69F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29.007.759,83</w:t>
            </w:r>
          </w:p>
        </w:tc>
        <w:tc>
          <w:tcPr>
            <w:tcW w:w="2130" w:type="dxa"/>
            <w:tcBorders>
              <w:top w:val="nil"/>
              <w:left w:val="nil"/>
              <w:bottom w:val="single" w:sz="4" w:space="0" w:color="auto"/>
              <w:right w:val="single" w:sz="4" w:space="0" w:color="auto"/>
            </w:tcBorders>
            <w:shd w:val="clear" w:color="000000" w:fill="DAF2D0"/>
            <w:noWrap/>
            <w:vAlign w:val="center"/>
            <w:hideMark/>
          </w:tcPr>
          <w:p w14:paraId="2C8EEFB6" w14:textId="77777777" w:rsidR="006A69F1" w:rsidRPr="000E700A" w:rsidRDefault="006A69F1" w:rsidP="006A69F1">
            <w:pPr>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 </w:t>
            </w:r>
          </w:p>
        </w:tc>
      </w:tr>
      <w:tr w:rsidR="006A69F1" w:rsidRPr="000E700A" w14:paraId="628A9C22" w14:textId="77777777" w:rsidTr="006A69F1">
        <w:trPr>
          <w:trHeight w:val="300"/>
        </w:trPr>
        <w:tc>
          <w:tcPr>
            <w:tcW w:w="1616" w:type="dxa"/>
            <w:tcBorders>
              <w:top w:val="nil"/>
              <w:left w:val="single" w:sz="4" w:space="0" w:color="auto"/>
              <w:bottom w:val="single" w:sz="4" w:space="0" w:color="auto"/>
              <w:right w:val="single" w:sz="4" w:space="0" w:color="auto"/>
            </w:tcBorders>
            <w:shd w:val="clear" w:color="000000" w:fill="B5E6A2"/>
            <w:vAlign w:val="center"/>
            <w:hideMark/>
          </w:tcPr>
          <w:p w14:paraId="3FE08020" w14:textId="77777777" w:rsidR="006A69F1" w:rsidRPr="000E700A" w:rsidRDefault="006A69F1" w:rsidP="006A69F1">
            <w:pPr>
              <w:ind w:firstLineChars="500" w:firstLine="1205"/>
              <w:rPr>
                <w:b/>
                <w:bCs/>
                <w:sz w:val="24"/>
                <w:szCs w:val="24"/>
                <w:lang w:val="hr-HR" w:eastAsia="hr-HR"/>
                <w14:ligatures w14:val="standardContextual"/>
              </w:rPr>
            </w:pPr>
            <w:r w:rsidRPr="000E700A">
              <w:rPr>
                <w:b/>
                <w:bCs/>
                <w:sz w:val="24"/>
                <w:szCs w:val="24"/>
                <w:lang w:val="hr-HR" w:eastAsia="hr-HR"/>
                <w14:ligatures w14:val="standardContextual"/>
              </w:rPr>
              <w:t>3</w:t>
            </w:r>
          </w:p>
        </w:tc>
        <w:tc>
          <w:tcPr>
            <w:tcW w:w="3361" w:type="dxa"/>
            <w:tcBorders>
              <w:top w:val="nil"/>
              <w:left w:val="nil"/>
              <w:bottom w:val="single" w:sz="4" w:space="0" w:color="auto"/>
              <w:right w:val="single" w:sz="4" w:space="0" w:color="auto"/>
            </w:tcBorders>
            <w:shd w:val="clear" w:color="000000" w:fill="B5E6A2"/>
            <w:vAlign w:val="center"/>
            <w:hideMark/>
          </w:tcPr>
          <w:p w14:paraId="22A02B9D" w14:textId="77777777" w:rsidR="006A69F1" w:rsidRPr="000E700A" w:rsidRDefault="006A69F1" w:rsidP="006A69F1">
            <w:pPr>
              <w:rPr>
                <w:b/>
                <w:bCs/>
                <w:sz w:val="24"/>
                <w:szCs w:val="24"/>
                <w:lang w:val="hr-HR" w:eastAsia="hr-HR"/>
                <w14:ligatures w14:val="standardContextual"/>
              </w:rPr>
            </w:pPr>
            <w:r w:rsidRPr="000E700A">
              <w:rPr>
                <w:b/>
                <w:bCs/>
                <w:sz w:val="24"/>
                <w:szCs w:val="24"/>
                <w:lang w:val="hr-HR" w:eastAsia="hr-HR"/>
                <w14:ligatures w14:val="standardContextual"/>
              </w:rPr>
              <w:t>Rashodi poslovanja</w:t>
            </w:r>
          </w:p>
        </w:tc>
        <w:tc>
          <w:tcPr>
            <w:tcW w:w="2693" w:type="dxa"/>
            <w:tcBorders>
              <w:top w:val="nil"/>
              <w:left w:val="nil"/>
              <w:bottom w:val="single" w:sz="4" w:space="0" w:color="auto"/>
              <w:right w:val="single" w:sz="4" w:space="0" w:color="auto"/>
            </w:tcBorders>
            <w:shd w:val="clear" w:color="000000" w:fill="B5E6A2"/>
            <w:noWrap/>
            <w:vAlign w:val="center"/>
            <w:hideMark/>
          </w:tcPr>
          <w:p w14:paraId="75B5E44C" w14:textId="77777777" w:rsidR="006A69F1" w:rsidRPr="000E700A" w:rsidRDefault="006A69F1" w:rsidP="006A69F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24.056.095,28</w:t>
            </w:r>
          </w:p>
        </w:tc>
        <w:tc>
          <w:tcPr>
            <w:tcW w:w="2130" w:type="dxa"/>
            <w:tcBorders>
              <w:top w:val="nil"/>
              <w:left w:val="nil"/>
              <w:bottom w:val="single" w:sz="4" w:space="0" w:color="auto"/>
              <w:right w:val="single" w:sz="4" w:space="0" w:color="auto"/>
            </w:tcBorders>
            <w:shd w:val="clear" w:color="000000" w:fill="B5E6A2"/>
            <w:noWrap/>
            <w:vAlign w:val="center"/>
            <w:hideMark/>
          </w:tcPr>
          <w:p w14:paraId="5E0435A3" w14:textId="77777777" w:rsidR="006A69F1" w:rsidRPr="000E700A" w:rsidRDefault="006A69F1" w:rsidP="006A69F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82,93%</w:t>
            </w:r>
          </w:p>
        </w:tc>
      </w:tr>
      <w:tr w:rsidR="006A69F1" w:rsidRPr="000E700A" w14:paraId="145EA6C9" w14:textId="77777777" w:rsidTr="006A69F1">
        <w:trPr>
          <w:trHeight w:val="30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7A94B018"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31</w:t>
            </w:r>
          </w:p>
        </w:tc>
        <w:tc>
          <w:tcPr>
            <w:tcW w:w="3361" w:type="dxa"/>
            <w:tcBorders>
              <w:top w:val="nil"/>
              <w:left w:val="nil"/>
              <w:bottom w:val="single" w:sz="4" w:space="0" w:color="auto"/>
              <w:right w:val="single" w:sz="4" w:space="0" w:color="auto"/>
            </w:tcBorders>
            <w:shd w:val="clear" w:color="auto" w:fill="auto"/>
            <w:vAlign w:val="center"/>
            <w:hideMark/>
          </w:tcPr>
          <w:p w14:paraId="35349091"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Rashodi za zaposlene</w:t>
            </w:r>
          </w:p>
        </w:tc>
        <w:tc>
          <w:tcPr>
            <w:tcW w:w="2693" w:type="dxa"/>
            <w:tcBorders>
              <w:top w:val="nil"/>
              <w:left w:val="nil"/>
              <w:bottom w:val="single" w:sz="4" w:space="0" w:color="auto"/>
              <w:right w:val="single" w:sz="4" w:space="0" w:color="auto"/>
            </w:tcBorders>
            <w:shd w:val="clear" w:color="auto" w:fill="auto"/>
            <w:noWrap/>
            <w:vAlign w:val="center"/>
            <w:hideMark/>
          </w:tcPr>
          <w:p w14:paraId="3C9ACA4A"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9.741.748,01</w:t>
            </w:r>
          </w:p>
        </w:tc>
        <w:tc>
          <w:tcPr>
            <w:tcW w:w="2130" w:type="dxa"/>
            <w:tcBorders>
              <w:top w:val="nil"/>
              <w:left w:val="nil"/>
              <w:bottom w:val="single" w:sz="4" w:space="0" w:color="auto"/>
              <w:right w:val="single" w:sz="4" w:space="0" w:color="auto"/>
            </w:tcBorders>
            <w:shd w:val="clear" w:color="auto" w:fill="auto"/>
            <w:noWrap/>
            <w:vAlign w:val="center"/>
            <w:hideMark/>
          </w:tcPr>
          <w:p w14:paraId="194F5AE4"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33,58%</w:t>
            </w:r>
          </w:p>
        </w:tc>
      </w:tr>
      <w:tr w:rsidR="006A69F1" w:rsidRPr="000E700A" w14:paraId="65BB3D25" w14:textId="77777777" w:rsidTr="006A69F1">
        <w:trPr>
          <w:trHeight w:val="30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0E312B37"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32</w:t>
            </w:r>
          </w:p>
        </w:tc>
        <w:tc>
          <w:tcPr>
            <w:tcW w:w="3361" w:type="dxa"/>
            <w:tcBorders>
              <w:top w:val="nil"/>
              <w:left w:val="nil"/>
              <w:bottom w:val="single" w:sz="4" w:space="0" w:color="auto"/>
              <w:right w:val="single" w:sz="4" w:space="0" w:color="auto"/>
            </w:tcBorders>
            <w:shd w:val="clear" w:color="auto" w:fill="auto"/>
            <w:vAlign w:val="center"/>
            <w:hideMark/>
          </w:tcPr>
          <w:p w14:paraId="0F538751"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Materijalni rashodi</w:t>
            </w:r>
          </w:p>
        </w:tc>
        <w:tc>
          <w:tcPr>
            <w:tcW w:w="2693" w:type="dxa"/>
            <w:tcBorders>
              <w:top w:val="nil"/>
              <w:left w:val="nil"/>
              <w:bottom w:val="single" w:sz="4" w:space="0" w:color="auto"/>
              <w:right w:val="single" w:sz="4" w:space="0" w:color="auto"/>
            </w:tcBorders>
            <w:shd w:val="clear" w:color="auto" w:fill="auto"/>
            <w:noWrap/>
            <w:vAlign w:val="center"/>
            <w:hideMark/>
          </w:tcPr>
          <w:p w14:paraId="127AF9F5"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12.929.684,03</w:t>
            </w:r>
          </w:p>
        </w:tc>
        <w:tc>
          <w:tcPr>
            <w:tcW w:w="2130" w:type="dxa"/>
            <w:tcBorders>
              <w:top w:val="nil"/>
              <w:left w:val="nil"/>
              <w:bottom w:val="single" w:sz="4" w:space="0" w:color="auto"/>
              <w:right w:val="single" w:sz="4" w:space="0" w:color="auto"/>
            </w:tcBorders>
            <w:shd w:val="clear" w:color="auto" w:fill="auto"/>
            <w:noWrap/>
            <w:vAlign w:val="center"/>
            <w:hideMark/>
          </w:tcPr>
          <w:p w14:paraId="12D3E314"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44,57%</w:t>
            </w:r>
          </w:p>
        </w:tc>
      </w:tr>
      <w:tr w:rsidR="006A69F1" w:rsidRPr="000E700A" w14:paraId="5AE2D2AB" w14:textId="77777777" w:rsidTr="006A69F1">
        <w:trPr>
          <w:trHeight w:val="30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5B25AE33"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lastRenderedPageBreak/>
              <w:t>34</w:t>
            </w:r>
          </w:p>
        </w:tc>
        <w:tc>
          <w:tcPr>
            <w:tcW w:w="3361" w:type="dxa"/>
            <w:tcBorders>
              <w:top w:val="nil"/>
              <w:left w:val="nil"/>
              <w:bottom w:val="single" w:sz="4" w:space="0" w:color="auto"/>
              <w:right w:val="single" w:sz="4" w:space="0" w:color="auto"/>
            </w:tcBorders>
            <w:shd w:val="clear" w:color="auto" w:fill="auto"/>
            <w:vAlign w:val="center"/>
            <w:hideMark/>
          </w:tcPr>
          <w:p w14:paraId="4F98BABC"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Financijski rashodi</w:t>
            </w:r>
          </w:p>
        </w:tc>
        <w:tc>
          <w:tcPr>
            <w:tcW w:w="2693" w:type="dxa"/>
            <w:tcBorders>
              <w:top w:val="nil"/>
              <w:left w:val="nil"/>
              <w:bottom w:val="single" w:sz="4" w:space="0" w:color="auto"/>
              <w:right w:val="single" w:sz="4" w:space="0" w:color="auto"/>
            </w:tcBorders>
            <w:shd w:val="clear" w:color="auto" w:fill="auto"/>
            <w:noWrap/>
            <w:vAlign w:val="center"/>
            <w:hideMark/>
          </w:tcPr>
          <w:p w14:paraId="3140A0D4"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5.641,06</w:t>
            </w:r>
          </w:p>
        </w:tc>
        <w:tc>
          <w:tcPr>
            <w:tcW w:w="2130" w:type="dxa"/>
            <w:tcBorders>
              <w:top w:val="nil"/>
              <w:left w:val="nil"/>
              <w:bottom w:val="single" w:sz="4" w:space="0" w:color="auto"/>
              <w:right w:val="single" w:sz="4" w:space="0" w:color="auto"/>
            </w:tcBorders>
            <w:shd w:val="clear" w:color="auto" w:fill="auto"/>
            <w:noWrap/>
            <w:vAlign w:val="center"/>
            <w:hideMark/>
          </w:tcPr>
          <w:p w14:paraId="1766B963"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0,02%</w:t>
            </w:r>
          </w:p>
        </w:tc>
      </w:tr>
      <w:tr w:rsidR="006A69F1" w:rsidRPr="000E700A" w14:paraId="02C9D070" w14:textId="77777777" w:rsidTr="006A69F1">
        <w:trPr>
          <w:trHeight w:val="51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4AB8E3CE"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36</w:t>
            </w:r>
          </w:p>
        </w:tc>
        <w:tc>
          <w:tcPr>
            <w:tcW w:w="3361" w:type="dxa"/>
            <w:tcBorders>
              <w:top w:val="nil"/>
              <w:left w:val="nil"/>
              <w:bottom w:val="single" w:sz="4" w:space="0" w:color="auto"/>
              <w:right w:val="single" w:sz="4" w:space="0" w:color="auto"/>
            </w:tcBorders>
            <w:shd w:val="clear" w:color="auto" w:fill="auto"/>
            <w:vAlign w:val="center"/>
            <w:hideMark/>
          </w:tcPr>
          <w:p w14:paraId="32082F14"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Pomoći dane u inozemstvo i unutar općeg proračuna</w:t>
            </w:r>
          </w:p>
        </w:tc>
        <w:tc>
          <w:tcPr>
            <w:tcW w:w="2693" w:type="dxa"/>
            <w:tcBorders>
              <w:top w:val="nil"/>
              <w:left w:val="nil"/>
              <w:bottom w:val="single" w:sz="4" w:space="0" w:color="auto"/>
              <w:right w:val="single" w:sz="4" w:space="0" w:color="auto"/>
            </w:tcBorders>
            <w:shd w:val="clear" w:color="auto" w:fill="auto"/>
            <w:noWrap/>
            <w:vAlign w:val="center"/>
            <w:hideMark/>
          </w:tcPr>
          <w:p w14:paraId="7F02D28D"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1.001.878,00</w:t>
            </w:r>
          </w:p>
        </w:tc>
        <w:tc>
          <w:tcPr>
            <w:tcW w:w="2130" w:type="dxa"/>
            <w:tcBorders>
              <w:top w:val="nil"/>
              <w:left w:val="nil"/>
              <w:bottom w:val="single" w:sz="4" w:space="0" w:color="auto"/>
              <w:right w:val="single" w:sz="4" w:space="0" w:color="auto"/>
            </w:tcBorders>
            <w:shd w:val="clear" w:color="auto" w:fill="auto"/>
            <w:noWrap/>
            <w:vAlign w:val="center"/>
            <w:hideMark/>
          </w:tcPr>
          <w:p w14:paraId="2A546595"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3,45%</w:t>
            </w:r>
          </w:p>
        </w:tc>
      </w:tr>
      <w:tr w:rsidR="006A69F1" w:rsidRPr="000E700A" w14:paraId="177FC930" w14:textId="77777777" w:rsidTr="006A69F1">
        <w:trPr>
          <w:trHeight w:val="51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134DFADC"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37</w:t>
            </w:r>
          </w:p>
        </w:tc>
        <w:tc>
          <w:tcPr>
            <w:tcW w:w="3361" w:type="dxa"/>
            <w:tcBorders>
              <w:top w:val="nil"/>
              <w:left w:val="nil"/>
              <w:bottom w:val="single" w:sz="4" w:space="0" w:color="auto"/>
              <w:right w:val="single" w:sz="4" w:space="0" w:color="auto"/>
            </w:tcBorders>
            <w:shd w:val="clear" w:color="auto" w:fill="auto"/>
            <w:vAlign w:val="center"/>
            <w:hideMark/>
          </w:tcPr>
          <w:p w14:paraId="319D76CF"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Naknade građanima i kućanstvima na temelju osiguranja i druge naknade</w:t>
            </w:r>
          </w:p>
        </w:tc>
        <w:tc>
          <w:tcPr>
            <w:tcW w:w="2693" w:type="dxa"/>
            <w:tcBorders>
              <w:top w:val="nil"/>
              <w:left w:val="nil"/>
              <w:bottom w:val="single" w:sz="4" w:space="0" w:color="auto"/>
              <w:right w:val="single" w:sz="4" w:space="0" w:color="auto"/>
            </w:tcBorders>
            <w:shd w:val="clear" w:color="auto" w:fill="auto"/>
            <w:noWrap/>
            <w:vAlign w:val="center"/>
            <w:hideMark/>
          </w:tcPr>
          <w:p w14:paraId="00E3A61D"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45.969,40</w:t>
            </w:r>
          </w:p>
        </w:tc>
        <w:tc>
          <w:tcPr>
            <w:tcW w:w="2130" w:type="dxa"/>
            <w:tcBorders>
              <w:top w:val="nil"/>
              <w:left w:val="nil"/>
              <w:bottom w:val="single" w:sz="4" w:space="0" w:color="auto"/>
              <w:right w:val="single" w:sz="4" w:space="0" w:color="auto"/>
            </w:tcBorders>
            <w:shd w:val="clear" w:color="auto" w:fill="auto"/>
            <w:noWrap/>
            <w:vAlign w:val="center"/>
            <w:hideMark/>
          </w:tcPr>
          <w:p w14:paraId="386861E1"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0,16%</w:t>
            </w:r>
          </w:p>
        </w:tc>
      </w:tr>
      <w:tr w:rsidR="006A69F1" w:rsidRPr="000E700A" w14:paraId="1058CA37" w14:textId="77777777" w:rsidTr="006A69F1">
        <w:trPr>
          <w:trHeight w:val="51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1C55EA37"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38</w:t>
            </w:r>
          </w:p>
        </w:tc>
        <w:tc>
          <w:tcPr>
            <w:tcW w:w="3361" w:type="dxa"/>
            <w:tcBorders>
              <w:top w:val="nil"/>
              <w:left w:val="nil"/>
              <w:bottom w:val="single" w:sz="4" w:space="0" w:color="auto"/>
              <w:right w:val="single" w:sz="4" w:space="0" w:color="auto"/>
            </w:tcBorders>
            <w:shd w:val="clear" w:color="auto" w:fill="auto"/>
            <w:vAlign w:val="center"/>
            <w:hideMark/>
          </w:tcPr>
          <w:p w14:paraId="2707072A"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Rashodi za donacije, kazne, naknade šteta i kapitalne pomoći</w:t>
            </w:r>
          </w:p>
        </w:tc>
        <w:tc>
          <w:tcPr>
            <w:tcW w:w="2693" w:type="dxa"/>
            <w:tcBorders>
              <w:top w:val="nil"/>
              <w:left w:val="nil"/>
              <w:bottom w:val="single" w:sz="4" w:space="0" w:color="auto"/>
              <w:right w:val="single" w:sz="4" w:space="0" w:color="auto"/>
            </w:tcBorders>
            <w:shd w:val="clear" w:color="auto" w:fill="auto"/>
            <w:noWrap/>
            <w:vAlign w:val="center"/>
            <w:hideMark/>
          </w:tcPr>
          <w:p w14:paraId="53AA9F2A"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331.174,78</w:t>
            </w:r>
          </w:p>
        </w:tc>
        <w:tc>
          <w:tcPr>
            <w:tcW w:w="2130" w:type="dxa"/>
            <w:tcBorders>
              <w:top w:val="nil"/>
              <w:left w:val="nil"/>
              <w:bottom w:val="single" w:sz="4" w:space="0" w:color="auto"/>
              <w:right w:val="single" w:sz="4" w:space="0" w:color="auto"/>
            </w:tcBorders>
            <w:shd w:val="clear" w:color="auto" w:fill="auto"/>
            <w:noWrap/>
            <w:vAlign w:val="center"/>
            <w:hideMark/>
          </w:tcPr>
          <w:p w14:paraId="53A8DDFB"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1,14%</w:t>
            </w:r>
          </w:p>
        </w:tc>
      </w:tr>
      <w:tr w:rsidR="006A69F1" w:rsidRPr="000E700A" w14:paraId="2CF1ADD6" w14:textId="77777777" w:rsidTr="006A69F1">
        <w:trPr>
          <w:trHeight w:val="510"/>
        </w:trPr>
        <w:tc>
          <w:tcPr>
            <w:tcW w:w="1616" w:type="dxa"/>
            <w:tcBorders>
              <w:top w:val="nil"/>
              <w:left w:val="single" w:sz="4" w:space="0" w:color="auto"/>
              <w:bottom w:val="single" w:sz="4" w:space="0" w:color="auto"/>
              <w:right w:val="single" w:sz="4" w:space="0" w:color="auto"/>
            </w:tcBorders>
            <w:shd w:val="clear" w:color="000000" w:fill="B5E6A2"/>
            <w:vAlign w:val="center"/>
            <w:hideMark/>
          </w:tcPr>
          <w:p w14:paraId="39526644" w14:textId="77777777" w:rsidR="006A69F1" w:rsidRPr="000E700A" w:rsidRDefault="006A69F1" w:rsidP="006A69F1">
            <w:pPr>
              <w:ind w:firstLineChars="500" w:firstLine="1205"/>
              <w:rPr>
                <w:b/>
                <w:bCs/>
                <w:sz w:val="24"/>
                <w:szCs w:val="24"/>
                <w:lang w:val="hr-HR" w:eastAsia="hr-HR"/>
                <w14:ligatures w14:val="standardContextual"/>
              </w:rPr>
            </w:pPr>
            <w:r w:rsidRPr="000E700A">
              <w:rPr>
                <w:b/>
                <w:bCs/>
                <w:sz w:val="24"/>
                <w:szCs w:val="24"/>
                <w:lang w:val="hr-HR" w:eastAsia="hr-HR"/>
                <w14:ligatures w14:val="standardContextual"/>
              </w:rPr>
              <w:t>4</w:t>
            </w:r>
          </w:p>
        </w:tc>
        <w:tc>
          <w:tcPr>
            <w:tcW w:w="3361" w:type="dxa"/>
            <w:tcBorders>
              <w:top w:val="nil"/>
              <w:left w:val="nil"/>
              <w:bottom w:val="single" w:sz="4" w:space="0" w:color="auto"/>
              <w:right w:val="single" w:sz="4" w:space="0" w:color="auto"/>
            </w:tcBorders>
            <w:shd w:val="clear" w:color="000000" w:fill="B5E6A2"/>
            <w:vAlign w:val="center"/>
            <w:hideMark/>
          </w:tcPr>
          <w:p w14:paraId="292A00B7" w14:textId="77777777" w:rsidR="006A69F1" w:rsidRPr="000E700A" w:rsidRDefault="006A69F1" w:rsidP="006A69F1">
            <w:pPr>
              <w:rPr>
                <w:b/>
                <w:bCs/>
                <w:sz w:val="24"/>
                <w:szCs w:val="24"/>
                <w:lang w:val="hr-HR" w:eastAsia="hr-HR"/>
                <w14:ligatures w14:val="standardContextual"/>
              </w:rPr>
            </w:pPr>
            <w:r w:rsidRPr="000E700A">
              <w:rPr>
                <w:b/>
                <w:bCs/>
                <w:sz w:val="24"/>
                <w:szCs w:val="24"/>
                <w:lang w:val="hr-HR" w:eastAsia="hr-HR"/>
                <w14:ligatures w14:val="standardContextual"/>
              </w:rPr>
              <w:t>Rashodi za nabavu nefinancijske imovine</w:t>
            </w:r>
          </w:p>
        </w:tc>
        <w:tc>
          <w:tcPr>
            <w:tcW w:w="2693" w:type="dxa"/>
            <w:tcBorders>
              <w:top w:val="nil"/>
              <w:left w:val="nil"/>
              <w:bottom w:val="single" w:sz="4" w:space="0" w:color="auto"/>
              <w:right w:val="single" w:sz="4" w:space="0" w:color="auto"/>
            </w:tcBorders>
            <w:shd w:val="clear" w:color="000000" w:fill="B5E6A2"/>
            <w:noWrap/>
            <w:vAlign w:val="center"/>
            <w:hideMark/>
          </w:tcPr>
          <w:p w14:paraId="4B6A474B" w14:textId="77777777" w:rsidR="006A69F1" w:rsidRPr="000E700A" w:rsidRDefault="006A69F1" w:rsidP="006A69F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4.951.664,55</w:t>
            </w:r>
          </w:p>
        </w:tc>
        <w:tc>
          <w:tcPr>
            <w:tcW w:w="2130" w:type="dxa"/>
            <w:tcBorders>
              <w:top w:val="nil"/>
              <w:left w:val="nil"/>
              <w:bottom w:val="single" w:sz="4" w:space="0" w:color="auto"/>
              <w:right w:val="single" w:sz="4" w:space="0" w:color="auto"/>
            </w:tcBorders>
            <w:shd w:val="clear" w:color="000000" w:fill="B5E6A2"/>
            <w:noWrap/>
            <w:vAlign w:val="center"/>
            <w:hideMark/>
          </w:tcPr>
          <w:p w14:paraId="473DE7C8" w14:textId="77777777" w:rsidR="006A69F1" w:rsidRPr="000E700A" w:rsidRDefault="006A69F1" w:rsidP="006A69F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17,07%</w:t>
            </w:r>
          </w:p>
        </w:tc>
      </w:tr>
      <w:tr w:rsidR="006A69F1" w:rsidRPr="000E700A" w14:paraId="7029E800" w14:textId="77777777" w:rsidTr="006A69F1">
        <w:trPr>
          <w:trHeight w:val="51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4EA6BDD6"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41</w:t>
            </w:r>
          </w:p>
        </w:tc>
        <w:tc>
          <w:tcPr>
            <w:tcW w:w="3361" w:type="dxa"/>
            <w:tcBorders>
              <w:top w:val="nil"/>
              <w:left w:val="nil"/>
              <w:bottom w:val="single" w:sz="4" w:space="0" w:color="auto"/>
              <w:right w:val="single" w:sz="4" w:space="0" w:color="auto"/>
            </w:tcBorders>
            <w:shd w:val="clear" w:color="auto" w:fill="auto"/>
            <w:vAlign w:val="center"/>
            <w:hideMark/>
          </w:tcPr>
          <w:p w14:paraId="6DCDA570"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 xml:space="preserve">Rashodi za nabavu </w:t>
            </w:r>
            <w:proofErr w:type="spellStart"/>
            <w:r w:rsidRPr="000E700A">
              <w:rPr>
                <w:sz w:val="24"/>
                <w:szCs w:val="24"/>
                <w:lang w:val="hr-HR" w:eastAsia="hr-HR"/>
                <w14:ligatures w14:val="standardContextual"/>
              </w:rPr>
              <w:t>neproizvedene</w:t>
            </w:r>
            <w:proofErr w:type="spellEnd"/>
            <w:r w:rsidRPr="000E700A">
              <w:rPr>
                <w:sz w:val="24"/>
                <w:szCs w:val="24"/>
                <w:lang w:val="hr-HR" w:eastAsia="hr-HR"/>
                <w14:ligatures w14:val="standardContextual"/>
              </w:rPr>
              <w:t xml:space="preserve"> dugotrajne imovine</w:t>
            </w:r>
          </w:p>
        </w:tc>
        <w:tc>
          <w:tcPr>
            <w:tcW w:w="2693" w:type="dxa"/>
            <w:tcBorders>
              <w:top w:val="nil"/>
              <w:left w:val="nil"/>
              <w:bottom w:val="single" w:sz="4" w:space="0" w:color="auto"/>
              <w:right w:val="single" w:sz="4" w:space="0" w:color="auto"/>
            </w:tcBorders>
            <w:shd w:val="clear" w:color="auto" w:fill="auto"/>
            <w:noWrap/>
            <w:vAlign w:val="center"/>
            <w:hideMark/>
          </w:tcPr>
          <w:p w14:paraId="0550ACB5"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1.546.589,51</w:t>
            </w:r>
          </w:p>
        </w:tc>
        <w:tc>
          <w:tcPr>
            <w:tcW w:w="2130" w:type="dxa"/>
            <w:tcBorders>
              <w:top w:val="nil"/>
              <w:left w:val="nil"/>
              <w:bottom w:val="single" w:sz="4" w:space="0" w:color="auto"/>
              <w:right w:val="single" w:sz="4" w:space="0" w:color="auto"/>
            </w:tcBorders>
            <w:shd w:val="clear" w:color="auto" w:fill="auto"/>
            <w:noWrap/>
            <w:vAlign w:val="center"/>
            <w:hideMark/>
          </w:tcPr>
          <w:p w14:paraId="02FE4857"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5,33%</w:t>
            </w:r>
          </w:p>
        </w:tc>
      </w:tr>
      <w:tr w:rsidR="006A69F1" w:rsidRPr="000E700A" w14:paraId="7DC494C9" w14:textId="77777777" w:rsidTr="006A69F1">
        <w:trPr>
          <w:trHeight w:val="510"/>
        </w:trPr>
        <w:tc>
          <w:tcPr>
            <w:tcW w:w="1616" w:type="dxa"/>
            <w:tcBorders>
              <w:top w:val="nil"/>
              <w:left w:val="single" w:sz="4" w:space="0" w:color="auto"/>
              <w:bottom w:val="single" w:sz="4" w:space="0" w:color="auto"/>
              <w:right w:val="single" w:sz="4" w:space="0" w:color="auto"/>
            </w:tcBorders>
            <w:shd w:val="clear" w:color="auto" w:fill="auto"/>
            <w:vAlign w:val="center"/>
            <w:hideMark/>
          </w:tcPr>
          <w:p w14:paraId="12B64343" w14:textId="77777777" w:rsidR="006A69F1" w:rsidRPr="000E700A" w:rsidRDefault="006A69F1" w:rsidP="006A69F1">
            <w:pPr>
              <w:ind w:firstLineChars="600" w:firstLine="1440"/>
              <w:rPr>
                <w:sz w:val="24"/>
                <w:szCs w:val="24"/>
                <w:lang w:val="hr-HR" w:eastAsia="hr-HR"/>
                <w14:ligatures w14:val="standardContextual"/>
              </w:rPr>
            </w:pPr>
            <w:r w:rsidRPr="000E700A">
              <w:rPr>
                <w:sz w:val="24"/>
                <w:szCs w:val="24"/>
                <w:lang w:val="hr-HR" w:eastAsia="hr-HR"/>
                <w14:ligatures w14:val="standardContextual"/>
              </w:rPr>
              <w:t>42</w:t>
            </w:r>
          </w:p>
        </w:tc>
        <w:tc>
          <w:tcPr>
            <w:tcW w:w="3361" w:type="dxa"/>
            <w:tcBorders>
              <w:top w:val="nil"/>
              <w:left w:val="nil"/>
              <w:bottom w:val="single" w:sz="4" w:space="0" w:color="auto"/>
              <w:right w:val="single" w:sz="4" w:space="0" w:color="auto"/>
            </w:tcBorders>
            <w:shd w:val="clear" w:color="auto" w:fill="auto"/>
            <w:vAlign w:val="center"/>
            <w:hideMark/>
          </w:tcPr>
          <w:p w14:paraId="753F2419" w14:textId="77777777" w:rsidR="006A69F1" w:rsidRPr="000E700A" w:rsidRDefault="006A69F1" w:rsidP="006A69F1">
            <w:pPr>
              <w:rPr>
                <w:sz w:val="24"/>
                <w:szCs w:val="24"/>
                <w:lang w:val="hr-HR" w:eastAsia="hr-HR"/>
                <w14:ligatures w14:val="standardContextual"/>
              </w:rPr>
            </w:pPr>
            <w:r w:rsidRPr="000E700A">
              <w:rPr>
                <w:sz w:val="24"/>
                <w:szCs w:val="24"/>
                <w:lang w:val="hr-HR" w:eastAsia="hr-HR"/>
                <w14:ligatures w14:val="standardContextual"/>
              </w:rPr>
              <w:t>Rashodi za nabavu proizvedene dugotrajne imovine</w:t>
            </w:r>
          </w:p>
        </w:tc>
        <w:tc>
          <w:tcPr>
            <w:tcW w:w="2693" w:type="dxa"/>
            <w:tcBorders>
              <w:top w:val="nil"/>
              <w:left w:val="nil"/>
              <w:bottom w:val="single" w:sz="4" w:space="0" w:color="auto"/>
              <w:right w:val="single" w:sz="4" w:space="0" w:color="auto"/>
            </w:tcBorders>
            <w:shd w:val="clear" w:color="auto" w:fill="auto"/>
            <w:noWrap/>
            <w:vAlign w:val="center"/>
            <w:hideMark/>
          </w:tcPr>
          <w:p w14:paraId="1258CD38"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3.405.075,04</w:t>
            </w:r>
          </w:p>
        </w:tc>
        <w:tc>
          <w:tcPr>
            <w:tcW w:w="2130" w:type="dxa"/>
            <w:tcBorders>
              <w:top w:val="nil"/>
              <w:left w:val="nil"/>
              <w:bottom w:val="single" w:sz="4" w:space="0" w:color="auto"/>
              <w:right w:val="single" w:sz="4" w:space="0" w:color="auto"/>
            </w:tcBorders>
            <w:shd w:val="clear" w:color="auto" w:fill="auto"/>
            <w:noWrap/>
            <w:vAlign w:val="center"/>
            <w:hideMark/>
          </w:tcPr>
          <w:p w14:paraId="73C593D0" w14:textId="77777777" w:rsidR="006A69F1" w:rsidRPr="000E700A" w:rsidRDefault="006A69F1" w:rsidP="006A69F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11,74%</w:t>
            </w:r>
          </w:p>
        </w:tc>
      </w:tr>
    </w:tbl>
    <w:p w14:paraId="673E23B6" w14:textId="77777777" w:rsidR="00003563" w:rsidRPr="000E700A" w:rsidRDefault="00003563" w:rsidP="00003563">
      <w:pPr>
        <w:spacing w:line="360" w:lineRule="auto"/>
        <w:jc w:val="both"/>
        <w:rPr>
          <w:b/>
          <w:sz w:val="24"/>
          <w:szCs w:val="24"/>
          <w:lang w:val="hr-HR"/>
        </w:rPr>
      </w:pPr>
    </w:p>
    <w:p w14:paraId="74F707F5" w14:textId="77777777" w:rsidR="00880666" w:rsidRDefault="00880666" w:rsidP="00EE20D1">
      <w:pPr>
        <w:spacing w:line="360" w:lineRule="auto"/>
        <w:jc w:val="both"/>
        <w:rPr>
          <w:sz w:val="24"/>
          <w:szCs w:val="24"/>
        </w:rPr>
      </w:pPr>
    </w:p>
    <w:p w14:paraId="33668943" w14:textId="072015F5" w:rsidR="00510B63" w:rsidRPr="00880666" w:rsidRDefault="00510B63" w:rsidP="00EE20D1">
      <w:pPr>
        <w:spacing w:line="360" w:lineRule="auto"/>
        <w:jc w:val="both"/>
        <w:rPr>
          <w:sz w:val="24"/>
          <w:szCs w:val="24"/>
        </w:rPr>
      </w:pPr>
      <w:r w:rsidRPr="000E700A">
        <w:rPr>
          <w:b/>
          <w:bCs/>
          <w:sz w:val="24"/>
          <w:szCs w:val="24"/>
        </w:rPr>
        <w:t>RASHODI PO IZVORIMA FINANCIRANJA</w:t>
      </w:r>
    </w:p>
    <w:p w14:paraId="37CFAAC1" w14:textId="77777777" w:rsidR="00510B63" w:rsidRPr="000E700A" w:rsidRDefault="00510B63" w:rsidP="00EE20D1">
      <w:pPr>
        <w:spacing w:line="360" w:lineRule="auto"/>
        <w:jc w:val="both"/>
        <w:rPr>
          <w:sz w:val="24"/>
          <w:szCs w:val="24"/>
        </w:rPr>
      </w:pPr>
    </w:p>
    <w:p w14:paraId="6E99D827" w14:textId="65D97A77" w:rsidR="005F29DC" w:rsidRPr="000E700A" w:rsidRDefault="005F29DC" w:rsidP="00EE20D1">
      <w:pPr>
        <w:spacing w:line="360" w:lineRule="auto"/>
        <w:jc w:val="both"/>
        <w:rPr>
          <w:sz w:val="24"/>
          <w:szCs w:val="24"/>
        </w:rPr>
      </w:pPr>
      <w:r w:rsidRPr="000E700A">
        <w:rPr>
          <w:sz w:val="24"/>
          <w:szCs w:val="24"/>
        </w:rPr>
        <w:t xml:space="preserve">U </w:t>
      </w:r>
      <w:proofErr w:type="spellStart"/>
      <w:r w:rsidRPr="000E700A">
        <w:rPr>
          <w:sz w:val="24"/>
          <w:szCs w:val="24"/>
        </w:rPr>
        <w:t>nastavku</w:t>
      </w:r>
      <w:proofErr w:type="spellEnd"/>
      <w:r w:rsidRPr="000E700A">
        <w:rPr>
          <w:sz w:val="24"/>
          <w:szCs w:val="24"/>
        </w:rPr>
        <w:t xml:space="preserve"> je </w:t>
      </w:r>
      <w:proofErr w:type="spellStart"/>
      <w:r w:rsidRPr="000E700A">
        <w:rPr>
          <w:sz w:val="24"/>
          <w:szCs w:val="24"/>
        </w:rPr>
        <w:t>prikazana</w:t>
      </w:r>
      <w:proofErr w:type="spellEnd"/>
      <w:r w:rsidRPr="000E700A">
        <w:rPr>
          <w:sz w:val="24"/>
          <w:szCs w:val="24"/>
        </w:rPr>
        <w:t xml:space="preserve"> </w:t>
      </w:r>
      <w:proofErr w:type="spellStart"/>
      <w:r w:rsidRPr="000E700A">
        <w:rPr>
          <w:sz w:val="24"/>
          <w:szCs w:val="24"/>
        </w:rPr>
        <w:t>strukt</w:t>
      </w:r>
      <w:r w:rsidR="00844835" w:rsidRPr="000E700A">
        <w:rPr>
          <w:sz w:val="24"/>
          <w:szCs w:val="24"/>
        </w:rPr>
        <w:t>ura</w:t>
      </w:r>
      <w:proofErr w:type="spellEnd"/>
      <w:r w:rsidRPr="000E700A">
        <w:rPr>
          <w:sz w:val="24"/>
          <w:szCs w:val="24"/>
        </w:rPr>
        <w:t xml:space="preserve"> </w:t>
      </w:r>
      <w:proofErr w:type="spellStart"/>
      <w:r w:rsidRPr="000E700A">
        <w:rPr>
          <w:sz w:val="24"/>
          <w:szCs w:val="24"/>
        </w:rPr>
        <w:t>izvršenja</w:t>
      </w:r>
      <w:proofErr w:type="spellEnd"/>
      <w:r w:rsidRPr="000E700A">
        <w:rPr>
          <w:sz w:val="24"/>
          <w:szCs w:val="24"/>
        </w:rPr>
        <w:t xml:space="preserve"> </w:t>
      </w:r>
      <w:proofErr w:type="spellStart"/>
      <w:r w:rsidRPr="000E700A">
        <w:rPr>
          <w:sz w:val="24"/>
          <w:szCs w:val="24"/>
        </w:rPr>
        <w:t>prihoda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rashoda</w:t>
      </w:r>
      <w:proofErr w:type="spellEnd"/>
      <w:r w:rsidRPr="000E700A">
        <w:rPr>
          <w:sz w:val="24"/>
          <w:szCs w:val="24"/>
        </w:rPr>
        <w:t xml:space="preserve"> po </w:t>
      </w:r>
      <w:proofErr w:type="spellStart"/>
      <w:r w:rsidRPr="000E700A">
        <w:rPr>
          <w:sz w:val="24"/>
          <w:szCs w:val="24"/>
        </w:rPr>
        <w:t>izvorima</w:t>
      </w:r>
      <w:proofErr w:type="spellEnd"/>
      <w:r w:rsidRPr="000E700A">
        <w:rPr>
          <w:sz w:val="24"/>
          <w:szCs w:val="24"/>
        </w:rPr>
        <w:t xml:space="preserve"> </w:t>
      </w:r>
      <w:proofErr w:type="spellStart"/>
      <w:r w:rsidRPr="000E700A">
        <w:rPr>
          <w:sz w:val="24"/>
          <w:szCs w:val="24"/>
        </w:rPr>
        <w:t>financiranja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udio</w:t>
      </w:r>
      <w:proofErr w:type="spellEnd"/>
      <w:r w:rsidRPr="000E700A">
        <w:rPr>
          <w:sz w:val="24"/>
          <w:szCs w:val="24"/>
        </w:rPr>
        <w:t xml:space="preserve"> u </w:t>
      </w:r>
      <w:proofErr w:type="spellStart"/>
      <w:r w:rsidRPr="000E700A">
        <w:rPr>
          <w:sz w:val="24"/>
          <w:szCs w:val="24"/>
        </w:rPr>
        <w:t>uk</w:t>
      </w:r>
      <w:r w:rsidR="00537C11" w:rsidRPr="000E700A">
        <w:rPr>
          <w:sz w:val="24"/>
          <w:szCs w:val="24"/>
        </w:rPr>
        <w:t>u</w:t>
      </w:r>
      <w:r w:rsidRPr="000E700A">
        <w:rPr>
          <w:sz w:val="24"/>
          <w:szCs w:val="24"/>
        </w:rPr>
        <w:t>pnim</w:t>
      </w:r>
      <w:proofErr w:type="spellEnd"/>
      <w:r w:rsidRPr="000E700A">
        <w:rPr>
          <w:sz w:val="24"/>
          <w:szCs w:val="24"/>
        </w:rPr>
        <w:t xml:space="preserve"> </w:t>
      </w:r>
      <w:proofErr w:type="spellStart"/>
      <w:r w:rsidRPr="000E700A">
        <w:rPr>
          <w:sz w:val="24"/>
          <w:szCs w:val="24"/>
        </w:rPr>
        <w:t>prihodima</w:t>
      </w:r>
      <w:proofErr w:type="spellEnd"/>
      <w:r w:rsidRPr="000E700A">
        <w:rPr>
          <w:sz w:val="24"/>
          <w:szCs w:val="24"/>
        </w:rPr>
        <w:t xml:space="preserve"> </w:t>
      </w:r>
      <w:proofErr w:type="spellStart"/>
      <w:r w:rsidRPr="000E700A">
        <w:rPr>
          <w:sz w:val="24"/>
          <w:szCs w:val="24"/>
        </w:rPr>
        <w:t>i</w:t>
      </w:r>
      <w:proofErr w:type="spellEnd"/>
      <w:r w:rsidRPr="000E700A">
        <w:rPr>
          <w:sz w:val="24"/>
          <w:szCs w:val="24"/>
        </w:rPr>
        <w:t xml:space="preserve"> </w:t>
      </w:r>
      <w:proofErr w:type="spellStart"/>
      <w:r w:rsidRPr="000E700A">
        <w:rPr>
          <w:sz w:val="24"/>
          <w:szCs w:val="24"/>
        </w:rPr>
        <w:t>rashodima</w:t>
      </w:r>
      <w:proofErr w:type="spellEnd"/>
      <w:r w:rsidRPr="000E700A">
        <w:rPr>
          <w:sz w:val="24"/>
          <w:szCs w:val="24"/>
        </w:rPr>
        <w:t xml:space="preserve">, </w:t>
      </w:r>
      <w:proofErr w:type="spellStart"/>
      <w:r w:rsidRPr="000E700A">
        <w:rPr>
          <w:sz w:val="24"/>
          <w:szCs w:val="24"/>
        </w:rPr>
        <w:t>iz</w:t>
      </w:r>
      <w:proofErr w:type="spellEnd"/>
      <w:r w:rsidRPr="000E700A">
        <w:rPr>
          <w:sz w:val="24"/>
          <w:szCs w:val="24"/>
        </w:rPr>
        <w:t xml:space="preserve"> </w:t>
      </w:r>
      <w:proofErr w:type="spellStart"/>
      <w:r w:rsidRPr="000E700A">
        <w:rPr>
          <w:sz w:val="24"/>
          <w:szCs w:val="24"/>
        </w:rPr>
        <w:t>čega</w:t>
      </w:r>
      <w:proofErr w:type="spellEnd"/>
      <w:r w:rsidRPr="000E700A">
        <w:rPr>
          <w:sz w:val="24"/>
          <w:szCs w:val="24"/>
        </w:rPr>
        <w:t xml:space="preserve"> je </w:t>
      </w:r>
      <w:proofErr w:type="spellStart"/>
      <w:r w:rsidRPr="000E700A">
        <w:rPr>
          <w:sz w:val="24"/>
          <w:szCs w:val="24"/>
        </w:rPr>
        <w:t>razvidno</w:t>
      </w:r>
      <w:proofErr w:type="spellEnd"/>
      <w:r w:rsidRPr="000E700A">
        <w:rPr>
          <w:sz w:val="24"/>
          <w:szCs w:val="24"/>
        </w:rPr>
        <w:t xml:space="preserve"> da CARNET </w:t>
      </w:r>
      <w:proofErr w:type="spellStart"/>
      <w:r w:rsidR="00537C11" w:rsidRPr="000E700A">
        <w:rPr>
          <w:sz w:val="24"/>
          <w:szCs w:val="24"/>
        </w:rPr>
        <w:t>polovicu</w:t>
      </w:r>
      <w:proofErr w:type="spellEnd"/>
      <w:r w:rsidR="00537C11" w:rsidRPr="000E700A">
        <w:rPr>
          <w:sz w:val="24"/>
          <w:szCs w:val="24"/>
        </w:rPr>
        <w:t xml:space="preserve"> </w:t>
      </w:r>
      <w:proofErr w:type="spellStart"/>
      <w:r w:rsidR="00537C11" w:rsidRPr="000E700A">
        <w:rPr>
          <w:sz w:val="24"/>
          <w:szCs w:val="24"/>
        </w:rPr>
        <w:t>poslovanja</w:t>
      </w:r>
      <w:proofErr w:type="spellEnd"/>
      <w:r w:rsidRPr="000E700A">
        <w:rPr>
          <w:sz w:val="24"/>
          <w:szCs w:val="24"/>
        </w:rPr>
        <w:t xml:space="preserve"> </w:t>
      </w:r>
      <w:proofErr w:type="spellStart"/>
      <w:r w:rsidRPr="000E700A">
        <w:rPr>
          <w:sz w:val="24"/>
          <w:szCs w:val="24"/>
        </w:rPr>
        <w:t>financira</w:t>
      </w:r>
      <w:proofErr w:type="spellEnd"/>
      <w:r w:rsidRPr="000E700A">
        <w:rPr>
          <w:sz w:val="24"/>
          <w:szCs w:val="24"/>
        </w:rPr>
        <w:t xml:space="preserve"> </w:t>
      </w:r>
      <w:proofErr w:type="spellStart"/>
      <w:r w:rsidRPr="000E700A">
        <w:rPr>
          <w:sz w:val="24"/>
          <w:szCs w:val="24"/>
        </w:rPr>
        <w:t>iz</w:t>
      </w:r>
      <w:proofErr w:type="spellEnd"/>
      <w:r w:rsidRPr="000E700A">
        <w:rPr>
          <w:sz w:val="24"/>
          <w:szCs w:val="24"/>
        </w:rPr>
        <w:t xml:space="preserve"> </w:t>
      </w:r>
      <w:proofErr w:type="spellStart"/>
      <w:r w:rsidRPr="000E700A">
        <w:rPr>
          <w:sz w:val="24"/>
          <w:szCs w:val="24"/>
        </w:rPr>
        <w:t>Općih</w:t>
      </w:r>
      <w:proofErr w:type="spellEnd"/>
      <w:r w:rsidRPr="000E700A">
        <w:rPr>
          <w:sz w:val="24"/>
          <w:szCs w:val="24"/>
        </w:rPr>
        <w:t xml:space="preserve"> </w:t>
      </w:r>
      <w:proofErr w:type="spellStart"/>
      <w:r w:rsidR="00537C11" w:rsidRPr="000E700A">
        <w:rPr>
          <w:sz w:val="24"/>
          <w:szCs w:val="24"/>
        </w:rPr>
        <w:t>prihoda</w:t>
      </w:r>
      <w:proofErr w:type="spellEnd"/>
      <w:r w:rsidR="00537C11" w:rsidRPr="000E700A">
        <w:rPr>
          <w:sz w:val="24"/>
          <w:szCs w:val="24"/>
        </w:rPr>
        <w:t xml:space="preserve"> </w:t>
      </w:r>
      <w:proofErr w:type="spellStart"/>
      <w:r w:rsidR="00537C11" w:rsidRPr="000E700A">
        <w:rPr>
          <w:sz w:val="24"/>
          <w:szCs w:val="24"/>
        </w:rPr>
        <w:t>i</w:t>
      </w:r>
      <w:proofErr w:type="spellEnd"/>
      <w:r w:rsidR="00537C11" w:rsidRPr="000E700A">
        <w:rPr>
          <w:sz w:val="24"/>
          <w:szCs w:val="24"/>
        </w:rPr>
        <w:t xml:space="preserve"> </w:t>
      </w:r>
      <w:proofErr w:type="spellStart"/>
      <w:r w:rsidR="00537C11" w:rsidRPr="000E700A">
        <w:rPr>
          <w:sz w:val="24"/>
          <w:szCs w:val="24"/>
        </w:rPr>
        <w:t>primitaka</w:t>
      </w:r>
      <w:proofErr w:type="spellEnd"/>
      <w:r w:rsidRPr="000E700A">
        <w:rPr>
          <w:sz w:val="24"/>
          <w:szCs w:val="24"/>
        </w:rPr>
        <w:t xml:space="preserve"> </w:t>
      </w:r>
      <w:r w:rsidR="00537C11" w:rsidRPr="000E700A">
        <w:rPr>
          <w:sz w:val="24"/>
          <w:szCs w:val="24"/>
        </w:rPr>
        <w:t>54.90</w:t>
      </w:r>
      <w:r w:rsidRPr="000E700A">
        <w:rPr>
          <w:sz w:val="24"/>
          <w:szCs w:val="24"/>
        </w:rPr>
        <w:t xml:space="preserve">%, </w:t>
      </w:r>
      <w:proofErr w:type="spellStart"/>
      <w:r w:rsidRPr="000E700A">
        <w:rPr>
          <w:sz w:val="24"/>
          <w:szCs w:val="24"/>
        </w:rPr>
        <w:t>dok</w:t>
      </w:r>
      <w:proofErr w:type="spellEnd"/>
      <w:r w:rsidR="00537C11" w:rsidRPr="000E700A">
        <w:rPr>
          <w:sz w:val="24"/>
          <w:szCs w:val="24"/>
        </w:rPr>
        <w:t xml:space="preserve"> se </w:t>
      </w:r>
      <w:proofErr w:type="spellStart"/>
      <w:r w:rsidR="00537C11" w:rsidRPr="000E700A">
        <w:rPr>
          <w:sz w:val="24"/>
          <w:szCs w:val="24"/>
        </w:rPr>
        <w:t>ostali</w:t>
      </w:r>
      <w:proofErr w:type="spellEnd"/>
      <w:r w:rsidR="00537C11" w:rsidRPr="000E700A">
        <w:rPr>
          <w:sz w:val="24"/>
          <w:szCs w:val="24"/>
        </w:rPr>
        <w:t xml:space="preserve"> </w:t>
      </w:r>
      <w:proofErr w:type="spellStart"/>
      <w:r w:rsidR="00537C11" w:rsidRPr="000E700A">
        <w:rPr>
          <w:sz w:val="24"/>
          <w:szCs w:val="24"/>
        </w:rPr>
        <w:t>dio</w:t>
      </w:r>
      <w:proofErr w:type="spellEnd"/>
      <w:r w:rsidR="00537C11" w:rsidRPr="000E700A">
        <w:rPr>
          <w:sz w:val="24"/>
          <w:szCs w:val="24"/>
        </w:rPr>
        <w:t xml:space="preserve"> </w:t>
      </w:r>
      <w:proofErr w:type="spellStart"/>
      <w:r w:rsidR="00537C11" w:rsidRPr="000E700A">
        <w:rPr>
          <w:sz w:val="24"/>
          <w:szCs w:val="24"/>
        </w:rPr>
        <w:t>odnosi</w:t>
      </w:r>
      <w:proofErr w:type="spellEnd"/>
      <w:r w:rsidR="00537C11" w:rsidRPr="000E700A">
        <w:rPr>
          <w:sz w:val="24"/>
          <w:szCs w:val="24"/>
        </w:rPr>
        <w:t xml:space="preserve"> </w:t>
      </w:r>
      <w:proofErr w:type="spellStart"/>
      <w:r w:rsidR="00537C11" w:rsidRPr="000E700A">
        <w:rPr>
          <w:sz w:val="24"/>
          <w:szCs w:val="24"/>
        </w:rPr>
        <w:t>na</w:t>
      </w:r>
      <w:proofErr w:type="spellEnd"/>
      <w:r w:rsidRPr="000E700A">
        <w:rPr>
          <w:sz w:val="24"/>
          <w:szCs w:val="24"/>
        </w:rPr>
        <w:t xml:space="preserve"> </w:t>
      </w:r>
      <w:proofErr w:type="spellStart"/>
      <w:r w:rsidR="00537C11" w:rsidRPr="000E700A">
        <w:rPr>
          <w:sz w:val="24"/>
          <w:szCs w:val="24"/>
        </w:rPr>
        <w:t>pomoći</w:t>
      </w:r>
      <w:proofErr w:type="spellEnd"/>
      <w:r w:rsidR="00537C11" w:rsidRPr="000E700A">
        <w:rPr>
          <w:sz w:val="24"/>
          <w:szCs w:val="24"/>
        </w:rPr>
        <w:t xml:space="preserve"> 36,21% I </w:t>
      </w:r>
      <w:proofErr w:type="spellStart"/>
      <w:r w:rsidR="00537C11" w:rsidRPr="000E700A">
        <w:rPr>
          <w:sz w:val="24"/>
          <w:szCs w:val="24"/>
        </w:rPr>
        <w:t>manjim</w:t>
      </w:r>
      <w:proofErr w:type="spellEnd"/>
      <w:r w:rsidR="00537C11" w:rsidRPr="000E700A">
        <w:rPr>
          <w:sz w:val="24"/>
          <w:szCs w:val="24"/>
        </w:rPr>
        <w:t xml:space="preserve"> </w:t>
      </w:r>
      <w:proofErr w:type="spellStart"/>
      <w:r w:rsidR="00537C11" w:rsidRPr="000E700A">
        <w:rPr>
          <w:sz w:val="24"/>
          <w:szCs w:val="24"/>
        </w:rPr>
        <w:t>dijelom</w:t>
      </w:r>
      <w:proofErr w:type="spellEnd"/>
      <w:r w:rsidR="00537C11" w:rsidRPr="000E700A">
        <w:rPr>
          <w:sz w:val="24"/>
          <w:szCs w:val="24"/>
        </w:rPr>
        <w:t xml:space="preserve"> </w:t>
      </w:r>
      <w:proofErr w:type="spellStart"/>
      <w:r w:rsidR="00537C11" w:rsidRPr="000E700A">
        <w:rPr>
          <w:sz w:val="24"/>
          <w:szCs w:val="24"/>
        </w:rPr>
        <w:t>o</w:t>
      </w:r>
      <w:r w:rsidRPr="000E700A">
        <w:rPr>
          <w:sz w:val="24"/>
          <w:szCs w:val="24"/>
        </w:rPr>
        <w:t>stal</w:t>
      </w:r>
      <w:r w:rsidR="00537C11" w:rsidRPr="000E700A">
        <w:rPr>
          <w:sz w:val="24"/>
          <w:szCs w:val="24"/>
        </w:rPr>
        <w:t>e</w:t>
      </w:r>
      <w:proofErr w:type="spellEnd"/>
      <w:r w:rsidRPr="000E700A">
        <w:rPr>
          <w:sz w:val="24"/>
          <w:szCs w:val="24"/>
        </w:rPr>
        <w:t xml:space="preserve"> </w:t>
      </w:r>
      <w:proofErr w:type="spellStart"/>
      <w:r w:rsidR="00537C11" w:rsidRPr="000E700A">
        <w:rPr>
          <w:sz w:val="24"/>
          <w:szCs w:val="24"/>
        </w:rPr>
        <w:t>p</w:t>
      </w:r>
      <w:r w:rsidRPr="000E700A">
        <w:rPr>
          <w:sz w:val="24"/>
          <w:szCs w:val="24"/>
        </w:rPr>
        <w:t>rihoda</w:t>
      </w:r>
      <w:proofErr w:type="spellEnd"/>
      <w:r w:rsidRPr="000E700A">
        <w:rPr>
          <w:sz w:val="24"/>
          <w:szCs w:val="24"/>
        </w:rPr>
        <w:t xml:space="preserve"> za </w:t>
      </w:r>
      <w:proofErr w:type="spellStart"/>
      <w:r w:rsidRPr="000E700A">
        <w:rPr>
          <w:sz w:val="24"/>
          <w:szCs w:val="24"/>
        </w:rPr>
        <w:t>posebne</w:t>
      </w:r>
      <w:proofErr w:type="spellEnd"/>
      <w:r w:rsidRPr="000E700A">
        <w:rPr>
          <w:sz w:val="24"/>
          <w:szCs w:val="24"/>
        </w:rPr>
        <w:t xml:space="preserve"> </w:t>
      </w:r>
      <w:proofErr w:type="spellStart"/>
      <w:r w:rsidRPr="000E700A">
        <w:rPr>
          <w:sz w:val="24"/>
          <w:szCs w:val="24"/>
        </w:rPr>
        <w:t>namjene</w:t>
      </w:r>
      <w:proofErr w:type="spellEnd"/>
      <w:r w:rsidRPr="000E700A">
        <w:rPr>
          <w:sz w:val="24"/>
          <w:szCs w:val="24"/>
        </w:rPr>
        <w:t xml:space="preserve"> </w:t>
      </w:r>
      <w:proofErr w:type="spellStart"/>
      <w:r w:rsidRPr="000E700A">
        <w:rPr>
          <w:sz w:val="24"/>
          <w:szCs w:val="24"/>
        </w:rPr>
        <w:t>tek</w:t>
      </w:r>
      <w:proofErr w:type="spellEnd"/>
      <w:r w:rsidRPr="000E700A">
        <w:rPr>
          <w:sz w:val="24"/>
          <w:szCs w:val="24"/>
        </w:rPr>
        <w:t xml:space="preserve"> </w:t>
      </w:r>
      <w:r w:rsidR="00537C11" w:rsidRPr="000E700A">
        <w:rPr>
          <w:sz w:val="24"/>
          <w:szCs w:val="24"/>
        </w:rPr>
        <w:t>6,25</w:t>
      </w:r>
      <w:r w:rsidRPr="000E700A">
        <w:rPr>
          <w:sz w:val="24"/>
          <w:szCs w:val="24"/>
        </w:rPr>
        <w:t>%.</w:t>
      </w:r>
    </w:p>
    <w:p w14:paraId="3B4B3D6E" w14:textId="77777777" w:rsidR="00537C11" w:rsidRPr="000E700A" w:rsidRDefault="00537C11" w:rsidP="00EE20D1">
      <w:pPr>
        <w:spacing w:line="360" w:lineRule="auto"/>
        <w:jc w:val="both"/>
        <w:rPr>
          <w:sz w:val="24"/>
          <w:szCs w:val="24"/>
        </w:rPr>
      </w:pPr>
    </w:p>
    <w:p w14:paraId="6F898648" w14:textId="77777777" w:rsidR="00D17E67" w:rsidRPr="000E700A" w:rsidRDefault="00D17E67" w:rsidP="00EE20D1">
      <w:pPr>
        <w:spacing w:line="360" w:lineRule="auto"/>
        <w:jc w:val="both"/>
        <w:rPr>
          <w:sz w:val="24"/>
          <w:szCs w:val="24"/>
        </w:rPr>
      </w:pPr>
    </w:p>
    <w:tbl>
      <w:tblPr>
        <w:tblW w:w="9371" w:type="dxa"/>
        <w:tblInd w:w="-20" w:type="dxa"/>
        <w:tblLook w:val="04A0" w:firstRow="1" w:lastRow="0" w:firstColumn="1" w:lastColumn="0" w:noHBand="0" w:noVBand="1"/>
      </w:tblPr>
      <w:tblGrid>
        <w:gridCol w:w="5118"/>
        <w:gridCol w:w="2694"/>
        <w:gridCol w:w="1559"/>
      </w:tblGrid>
      <w:tr w:rsidR="00537C11" w:rsidRPr="000E700A" w14:paraId="384096FC" w14:textId="77777777" w:rsidTr="00537C11">
        <w:trPr>
          <w:trHeight w:val="945"/>
        </w:trPr>
        <w:tc>
          <w:tcPr>
            <w:tcW w:w="511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8F4CCC" w14:textId="77777777" w:rsidR="00537C11" w:rsidRPr="000E700A" w:rsidRDefault="00537C11" w:rsidP="00537C11">
            <w:pPr>
              <w:jc w:val="center"/>
              <w:rPr>
                <w:b/>
                <w:bCs/>
                <w:sz w:val="24"/>
                <w:szCs w:val="24"/>
                <w:lang w:val="hr-HR" w:eastAsia="hr-HR"/>
                <w14:ligatures w14:val="standardContextual"/>
              </w:rPr>
            </w:pPr>
            <w:r w:rsidRPr="000E700A">
              <w:rPr>
                <w:b/>
                <w:bCs/>
                <w:sz w:val="24"/>
                <w:szCs w:val="24"/>
                <w:lang w:val="hr-HR" w:eastAsia="hr-HR"/>
                <w14:ligatures w14:val="standardContextual"/>
              </w:rPr>
              <w:t>BROJČANA OZNAKA I NAZIV</w:t>
            </w:r>
          </w:p>
        </w:tc>
        <w:tc>
          <w:tcPr>
            <w:tcW w:w="2694" w:type="dxa"/>
            <w:tcBorders>
              <w:top w:val="single" w:sz="4" w:space="0" w:color="auto"/>
              <w:left w:val="nil"/>
              <w:bottom w:val="single" w:sz="4" w:space="0" w:color="auto"/>
              <w:right w:val="single" w:sz="4" w:space="0" w:color="auto"/>
            </w:tcBorders>
            <w:shd w:val="clear" w:color="000000" w:fill="D9D9D9"/>
            <w:vAlign w:val="center"/>
            <w:hideMark/>
          </w:tcPr>
          <w:p w14:paraId="6281EFBF" w14:textId="22BEDBDF" w:rsidR="00537C11" w:rsidRPr="000E700A" w:rsidRDefault="00537C11" w:rsidP="00537C11">
            <w:pPr>
              <w:jc w:val="center"/>
              <w:rPr>
                <w:b/>
                <w:bCs/>
                <w:sz w:val="24"/>
                <w:szCs w:val="24"/>
                <w:lang w:val="hr-HR" w:eastAsia="hr-HR"/>
                <w14:ligatures w14:val="standardContextual"/>
              </w:rPr>
            </w:pPr>
            <w:r w:rsidRPr="000E700A">
              <w:rPr>
                <w:b/>
                <w:bCs/>
                <w:sz w:val="24"/>
                <w:szCs w:val="24"/>
                <w:lang w:val="hr-HR" w:eastAsia="hr-HR"/>
                <w14:ligatures w14:val="standardContextual"/>
              </w:rPr>
              <w:t xml:space="preserve">OSTVARENJE /IZVRŠENJE </w:t>
            </w:r>
            <w:r w:rsidRPr="000E700A">
              <w:rPr>
                <w:b/>
                <w:bCs/>
                <w:sz w:val="24"/>
                <w:szCs w:val="24"/>
                <w:lang w:val="hr-HR" w:eastAsia="hr-HR"/>
                <w14:ligatures w14:val="standardContextual"/>
              </w:rPr>
              <w:br/>
              <w:t>01.2024. - 12.2024.</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2DD750B9" w14:textId="77777777" w:rsidR="00537C11" w:rsidRPr="000E700A" w:rsidRDefault="00537C11" w:rsidP="00537C11">
            <w:pPr>
              <w:jc w:val="center"/>
              <w:rPr>
                <w:b/>
                <w:bCs/>
                <w:sz w:val="24"/>
                <w:szCs w:val="24"/>
                <w:lang w:val="hr-HR" w:eastAsia="hr-HR"/>
                <w14:ligatures w14:val="standardContextual"/>
              </w:rPr>
            </w:pPr>
            <w:r w:rsidRPr="000E700A">
              <w:rPr>
                <w:b/>
                <w:bCs/>
                <w:sz w:val="24"/>
                <w:szCs w:val="24"/>
                <w:lang w:val="hr-HR" w:eastAsia="hr-HR"/>
                <w14:ligatures w14:val="standardContextual"/>
              </w:rPr>
              <w:t>Udio prihoda i rashoda po izvorima financiranja</w:t>
            </w:r>
          </w:p>
        </w:tc>
      </w:tr>
      <w:tr w:rsidR="00537C11" w:rsidRPr="000E700A" w14:paraId="6B0BCD16" w14:textId="77777777" w:rsidTr="00537C11">
        <w:trPr>
          <w:trHeight w:val="315"/>
        </w:trPr>
        <w:tc>
          <w:tcPr>
            <w:tcW w:w="5118" w:type="dxa"/>
            <w:tcBorders>
              <w:top w:val="nil"/>
              <w:left w:val="single" w:sz="4" w:space="0" w:color="auto"/>
              <w:bottom w:val="single" w:sz="4" w:space="0" w:color="auto"/>
              <w:right w:val="single" w:sz="4" w:space="0" w:color="auto"/>
            </w:tcBorders>
            <w:shd w:val="clear" w:color="000000" w:fill="DAF2D0"/>
            <w:vAlign w:val="center"/>
            <w:hideMark/>
          </w:tcPr>
          <w:p w14:paraId="20ED09DB" w14:textId="77777777" w:rsidR="00537C11" w:rsidRPr="000E700A" w:rsidRDefault="00537C11" w:rsidP="00537C11">
            <w:pPr>
              <w:ind w:firstLineChars="200" w:firstLine="482"/>
              <w:rPr>
                <w:b/>
                <w:bCs/>
                <w:sz w:val="24"/>
                <w:szCs w:val="24"/>
                <w:lang w:val="hr-HR" w:eastAsia="hr-HR"/>
                <w14:ligatures w14:val="standardContextual"/>
              </w:rPr>
            </w:pPr>
            <w:r w:rsidRPr="000E700A">
              <w:rPr>
                <w:b/>
                <w:bCs/>
                <w:sz w:val="24"/>
                <w:szCs w:val="24"/>
                <w:lang w:val="hr-HR" w:eastAsia="hr-HR"/>
                <w14:ligatures w14:val="standardContextual"/>
              </w:rPr>
              <w:t>PRIHODI</w:t>
            </w:r>
          </w:p>
        </w:tc>
        <w:tc>
          <w:tcPr>
            <w:tcW w:w="2694" w:type="dxa"/>
            <w:tcBorders>
              <w:top w:val="nil"/>
              <w:left w:val="nil"/>
              <w:bottom w:val="single" w:sz="4" w:space="0" w:color="auto"/>
              <w:right w:val="single" w:sz="4" w:space="0" w:color="auto"/>
            </w:tcBorders>
            <w:shd w:val="clear" w:color="000000" w:fill="DAF2D0"/>
            <w:noWrap/>
            <w:vAlign w:val="center"/>
            <w:hideMark/>
          </w:tcPr>
          <w:p w14:paraId="409FD4E6" w14:textId="77777777" w:rsidR="00537C11" w:rsidRPr="000E700A" w:rsidRDefault="00537C11" w:rsidP="00537C1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32.052.233,82</w:t>
            </w:r>
          </w:p>
        </w:tc>
        <w:tc>
          <w:tcPr>
            <w:tcW w:w="1559" w:type="dxa"/>
            <w:tcBorders>
              <w:top w:val="nil"/>
              <w:left w:val="nil"/>
              <w:bottom w:val="single" w:sz="4" w:space="0" w:color="auto"/>
              <w:right w:val="single" w:sz="4" w:space="0" w:color="auto"/>
            </w:tcBorders>
            <w:shd w:val="clear" w:color="000000" w:fill="DAF2D0"/>
            <w:noWrap/>
            <w:vAlign w:val="center"/>
            <w:hideMark/>
          </w:tcPr>
          <w:p w14:paraId="4EB75A30" w14:textId="77777777" w:rsidR="00537C11" w:rsidRPr="000E700A" w:rsidRDefault="00537C11" w:rsidP="00537C1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 </w:t>
            </w:r>
          </w:p>
        </w:tc>
      </w:tr>
      <w:tr w:rsidR="00537C11" w:rsidRPr="000E700A" w14:paraId="1749536A"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3EC7A32D"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11 Opći prihodi i primici</w:t>
            </w:r>
          </w:p>
        </w:tc>
        <w:tc>
          <w:tcPr>
            <w:tcW w:w="2694" w:type="dxa"/>
            <w:tcBorders>
              <w:top w:val="nil"/>
              <w:left w:val="nil"/>
              <w:bottom w:val="single" w:sz="4" w:space="0" w:color="auto"/>
              <w:right w:val="single" w:sz="4" w:space="0" w:color="auto"/>
            </w:tcBorders>
            <w:shd w:val="clear" w:color="auto" w:fill="auto"/>
            <w:noWrap/>
            <w:vAlign w:val="center"/>
            <w:hideMark/>
          </w:tcPr>
          <w:p w14:paraId="0BCBDBA1"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17.596.315,98</w:t>
            </w:r>
          </w:p>
        </w:tc>
        <w:tc>
          <w:tcPr>
            <w:tcW w:w="1559" w:type="dxa"/>
            <w:tcBorders>
              <w:top w:val="nil"/>
              <w:left w:val="nil"/>
              <w:bottom w:val="single" w:sz="4" w:space="0" w:color="auto"/>
              <w:right w:val="single" w:sz="4" w:space="0" w:color="auto"/>
            </w:tcBorders>
            <w:shd w:val="clear" w:color="auto" w:fill="auto"/>
            <w:noWrap/>
            <w:vAlign w:val="bottom"/>
            <w:hideMark/>
          </w:tcPr>
          <w:p w14:paraId="26B560A5"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54,90%</w:t>
            </w:r>
          </w:p>
        </w:tc>
      </w:tr>
      <w:tr w:rsidR="00537C11" w:rsidRPr="000E700A" w14:paraId="1E78BD72"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7311C932"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12 Sredstva učešća za pomoći</w:t>
            </w:r>
          </w:p>
        </w:tc>
        <w:tc>
          <w:tcPr>
            <w:tcW w:w="2694" w:type="dxa"/>
            <w:tcBorders>
              <w:top w:val="nil"/>
              <w:left w:val="nil"/>
              <w:bottom w:val="single" w:sz="4" w:space="0" w:color="auto"/>
              <w:right w:val="single" w:sz="4" w:space="0" w:color="auto"/>
            </w:tcBorders>
            <w:shd w:val="clear" w:color="auto" w:fill="auto"/>
            <w:noWrap/>
            <w:vAlign w:val="center"/>
            <w:hideMark/>
          </w:tcPr>
          <w:p w14:paraId="0C606C24"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561.294,80</w:t>
            </w:r>
          </w:p>
        </w:tc>
        <w:tc>
          <w:tcPr>
            <w:tcW w:w="1559" w:type="dxa"/>
            <w:tcBorders>
              <w:top w:val="nil"/>
              <w:left w:val="nil"/>
              <w:bottom w:val="single" w:sz="4" w:space="0" w:color="auto"/>
              <w:right w:val="single" w:sz="4" w:space="0" w:color="auto"/>
            </w:tcBorders>
            <w:shd w:val="clear" w:color="auto" w:fill="auto"/>
            <w:noWrap/>
            <w:vAlign w:val="bottom"/>
            <w:hideMark/>
          </w:tcPr>
          <w:p w14:paraId="6A2166FC"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1,75%</w:t>
            </w:r>
          </w:p>
        </w:tc>
      </w:tr>
      <w:tr w:rsidR="00537C11" w:rsidRPr="000E700A" w14:paraId="3117CF87"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19088779"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31 Vlastiti prihodi</w:t>
            </w:r>
          </w:p>
        </w:tc>
        <w:tc>
          <w:tcPr>
            <w:tcW w:w="2694" w:type="dxa"/>
            <w:tcBorders>
              <w:top w:val="nil"/>
              <w:left w:val="nil"/>
              <w:bottom w:val="single" w:sz="4" w:space="0" w:color="auto"/>
              <w:right w:val="single" w:sz="4" w:space="0" w:color="auto"/>
            </w:tcBorders>
            <w:shd w:val="clear" w:color="auto" w:fill="auto"/>
            <w:noWrap/>
            <w:vAlign w:val="center"/>
            <w:hideMark/>
          </w:tcPr>
          <w:p w14:paraId="7741E440"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360,62</w:t>
            </w:r>
          </w:p>
        </w:tc>
        <w:tc>
          <w:tcPr>
            <w:tcW w:w="1559" w:type="dxa"/>
            <w:tcBorders>
              <w:top w:val="nil"/>
              <w:left w:val="nil"/>
              <w:bottom w:val="single" w:sz="4" w:space="0" w:color="auto"/>
              <w:right w:val="single" w:sz="4" w:space="0" w:color="auto"/>
            </w:tcBorders>
            <w:shd w:val="clear" w:color="auto" w:fill="auto"/>
            <w:noWrap/>
            <w:vAlign w:val="bottom"/>
            <w:hideMark/>
          </w:tcPr>
          <w:p w14:paraId="35DE6D67"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0,00%</w:t>
            </w:r>
          </w:p>
        </w:tc>
      </w:tr>
      <w:tr w:rsidR="00537C11" w:rsidRPr="000E700A" w14:paraId="710D2246"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79812FFA"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43 Ostali prihodi za posebne namjene</w:t>
            </w:r>
          </w:p>
        </w:tc>
        <w:tc>
          <w:tcPr>
            <w:tcW w:w="2694" w:type="dxa"/>
            <w:tcBorders>
              <w:top w:val="nil"/>
              <w:left w:val="nil"/>
              <w:bottom w:val="single" w:sz="4" w:space="0" w:color="auto"/>
              <w:right w:val="single" w:sz="4" w:space="0" w:color="auto"/>
            </w:tcBorders>
            <w:shd w:val="clear" w:color="auto" w:fill="auto"/>
            <w:noWrap/>
            <w:vAlign w:val="center"/>
            <w:hideMark/>
          </w:tcPr>
          <w:p w14:paraId="6C1A8407"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2.004.565,45</w:t>
            </w:r>
          </w:p>
        </w:tc>
        <w:tc>
          <w:tcPr>
            <w:tcW w:w="1559" w:type="dxa"/>
            <w:tcBorders>
              <w:top w:val="nil"/>
              <w:left w:val="nil"/>
              <w:bottom w:val="single" w:sz="4" w:space="0" w:color="auto"/>
              <w:right w:val="single" w:sz="4" w:space="0" w:color="auto"/>
            </w:tcBorders>
            <w:shd w:val="clear" w:color="auto" w:fill="auto"/>
            <w:noWrap/>
            <w:vAlign w:val="bottom"/>
            <w:hideMark/>
          </w:tcPr>
          <w:p w14:paraId="5047E446"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6,25%</w:t>
            </w:r>
          </w:p>
        </w:tc>
      </w:tr>
      <w:tr w:rsidR="00537C11" w:rsidRPr="000E700A" w14:paraId="7CC54487"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1FE8D742"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51 Pomoći EU</w:t>
            </w:r>
          </w:p>
        </w:tc>
        <w:tc>
          <w:tcPr>
            <w:tcW w:w="2694" w:type="dxa"/>
            <w:tcBorders>
              <w:top w:val="nil"/>
              <w:left w:val="nil"/>
              <w:bottom w:val="single" w:sz="4" w:space="0" w:color="auto"/>
              <w:right w:val="single" w:sz="4" w:space="0" w:color="auto"/>
            </w:tcBorders>
            <w:shd w:val="clear" w:color="auto" w:fill="auto"/>
            <w:noWrap/>
            <w:vAlign w:val="center"/>
            <w:hideMark/>
          </w:tcPr>
          <w:p w14:paraId="4296D452"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4.371.190,87</w:t>
            </w:r>
          </w:p>
        </w:tc>
        <w:tc>
          <w:tcPr>
            <w:tcW w:w="1559" w:type="dxa"/>
            <w:tcBorders>
              <w:top w:val="nil"/>
              <w:left w:val="nil"/>
              <w:bottom w:val="single" w:sz="4" w:space="0" w:color="auto"/>
              <w:right w:val="single" w:sz="4" w:space="0" w:color="auto"/>
            </w:tcBorders>
            <w:shd w:val="clear" w:color="auto" w:fill="auto"/>
            <w:noWrap/>
            <w:vAlign w:val="bottom"/>
            <w:hideMark/>
          </w:tcPr>
          <w:p w14:paraId="2F5C235C"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13,64%</w:t>
            </w:r>
          </w:p>
        </w:tc>
      </w:tr>
      <w:tr w:rsidR="00537C11" w:rsidRPr="000E700A" w14:paraId="146FFB64"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36E2F384"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52 Ostale pomoći</w:t>
            </w:r>
          </w:p>
        </w:tc>
        <w:tc>
          <w:tcPr>
            <w:tcW w:w="2694" w:type="dxa"/>
            <w:tcBorders>
              <w:top w:val="nil"/>
              <w:left w:val="nil"/>
              <w:bottom w:val="single" w:sz="4" w:space="0" w:color="auto"/>
              <w:right w:val="single" w:sz="4" w:space="0" w:color="auto"/>
            </w:tcBorders>
            <w:shd w:val="clear" w:color="auto" w:fill="auto"/>
            <w:noWrap/>
            <w:vAlign w:val="center"/>
            <w:hideMark/>
          </w:tcPr>
          <w:p w14:paraId="3BA4EE30"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59.629,60</w:t>
            </w:r>
          </w:p>
        </w:tc>
        <w:tc>
          <w:tcPr>
            <w:tcW w:w="1559" w:type="dxa"/>
            <w:tcBorders>
              <w:top w:val="nil"/>
              <w:left w:val="nil"/>
              <w:bottom w:val="single" w:sz="4" w:space="0" w:color="auto"/>
              <w:right w:val="single" w:sz="4" w:space="0" w:color="auto"/>
            </w:tcBorders>
            <w:shd w:val="clear" w:color="auto" w:fill="auto"/>
            <w:noWrap/>
            <w:vAlign w:val="bottom"/>
            <w:hideMark/>
          </w:tcPr>
          <w:p w14:paraId="41527C1B"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0,19%</w:t>
            </w:r>
          </w:p>
        </w:tc>
      </w:tr>
      <w:tr w:rsidR="00537C11" w:rsidRPr="000E700A" w14:paraId="4F5FBF31"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270BEE2A"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56 Fondovi EU</w:t>
            </w:r>
          </w:p>
        </w:tc>
        <w:tc>
          <w:tcPr>
            <w:tcW w:w="2694" w:type="dxa"/>
            <w:tcBorders>
              <w:top w:val="nil"/>
              <w:left w:val="nil"/>
              <w:bottom w:val="single" w:sz="4" w:space="0" w:color="auto"/>
              <w:right w:val="single" w:sz="4" w:space="0" w:color="auto"/>
            </w:tcBorders>
            <w:shd w:val="clear" w:color="auto" w:fill="auto"/>
            <w:noWrap/>
            <w:vAlign w:val="center"/>
            <w:hideMark/>
          </w:tcPr>
          <w:p w14:paraId="0FBC9C00"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2.019.400,36</w:t>
            </w:r>
          </w:p>
        </w:tc>
        <w:tc>
          <w:tcPr>
            <w:tcW w:w="1559" w:type="dxa"/>
            <w:tcBorders>
              <w:top w:val="nil"/>
              <w:left w:val="nil"/>
              <w:bottom w:val="single" w:sz="4" w:space="0" w:color="auto"/>
              <w:right w:val="single" w:sz="4" w:space="0" w:color="auto"/>
            </w:tcBorders>
            <w:shd w:val="clear" w:color="auto" w:fill="auto"/>
            <w:noWrap/>
            <w:vAlign w:val="bottom"/>
            <w:hideMark/>
          </w:tcPr>
          <w:p w14:paraId="51B95E34"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6,30%</w:t>
            </w:r>
          </w:p>
        </w:tc>
      </w:tr>
      <w:tr w:rsidR="00537C11" w:rsidRPr="000E700A" w14:paraId="38387FB1"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27368D86"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57 Ostali programi EU</w:t>
            </w:r>
          </w:p>
        </w:tc>
        <w:tc>
          <w:tcPr>
            <w:tcW w:w="2694" w:type="dxa"/>
            <w:tcBorders>
              <w:top w:val="nil"/>
              <w:left w:val="nil"/>
              <w:bottom w:val="single" w:sz="4" w:space="0" w:color="auto"/>
              <w:right w:val="single" w:sz="4" w:space="0" w:color="auto"/>
            </w:tcBorders>
            <w:shd w:val="clear" w:color="auto" w:fill="auto"/>
            <w:noWrap/>
            <w:vAlign w:val="center"/>
            <w:hideMark/>
          </w:tcPr>
          <w:p w14:paraId="72E01588"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1.409.783,12</w:t>
            </w:r>
          </w:p>
        </w:tc>
        <w:tc>
          <w:tcPr>
            <w:tcW w:w="1559" w:type="dxa"/>
            <w:tcBorders>
              <w:top w:val="nil"/>
              <w:left w:val="nil"/>
              <w:bottom w:val="single" w:sz="4" w:space="0" w:color="auto"/>
              <w:right w:val="single" w:sz="4" w:space="0" w:color="auto"/>
            </w:tcBorders>
            <w:shd w:val="clear" w:color="auto" w:fill="auto"/>
            <w:noWrap/>
            <w:vAlign w:val="bottom"/>
            <w:hideMark/>
          </w:tcPr>
          <w:p w14:paraId="19A70A07"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4,40%</w:t>
            </w:r>
          </w:p>
        </w:tc>
      </w:tr>
      <w:tr w:rsidR="00537C11" w:rsidRPr="000E700A" w14:paraId="31B97DE7"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6A877846"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58 Instrumenti EU nove generacije</w:t>
            </w:r>
          </w:p>
        </w:tc>
        <w:tc>
          <w:tcPr>
            <w:tcW w:w="2694" w:type="dxa"/>
            <w:tcBorders>
              <w:top w:val="nil"/>
              <w:left w:val="nil"/>
              <w:bottom w:val="single" w:sz="4" w:space="0" w:color="auto"/>
              <w:right w:val="single" w:sz="4" w:space="0" w:color="auto"/>
            </w:tcBorders>
            <w:shd w:val="clear" w:color="auto" w:fill="auto"/>
            <w:noWrap/>
            <w:vAlign w:val="center"/>
            <w:hideMark/>
          </w:tcPr>
          <w:p w14:paraId="6A1E0080"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3.746.416,58</w:t>
            </w:r>
          </w:p>
        </w:tc>
        <w:tc>
          <w:tcPr>
            <w:tcW w:w="1559" w:type="dxa"/>
            <w:tcBorders>
              <w:top w:val="nil"/>
              <w:left w:val="nil"/>
              <w:bottom w:val="single" w:sz="4" w:space="0" w:color="auto"/>
              <w:right w:val="single" w:sz="4" w:space="0" w:color="auto"/>
            </w:tcBorders>
            <w:shd w:val="clear" w:color="auto" w:fill="auto"/>
            <w:noWrap/>
            <w:vAlign w:val="bottom"/>
            <w:hideMark/>
          </w:tcPr>
          <w:p w14:paraId="1C061DFF"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11,69%</w:t>
            </w:r>
          </w:p>
        </w:tc>
      </w:tr>
      <w:tr w:rsidR="00537C11" w:rsidRPr="000E700A" w14:paraId="3AA51982"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341FDE96"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63 Inozemne donacije</w:t>
            </w:r>
          </w:p>
        </w:tc>
        <w:tc>
          <w:tcPr>
            <w:tcW w:w="2694" w:type="dxa"/>
            <w:tcBorders>
              <w:top w:val="nil"/>
              <w:left w:val="nil"/>
              <w:bottom w:val="single" w:sz="4" w:space="0" w:color="auto"/>
              <w:right w:val="single" w:sz="4" w:space="0" w:color="auto"/>
            </w:tcBorders>
            <w:shd w:val="clear" w:color="auto" w:fill="auto"/>
            <w:noWrap/>
            <w:vAlign w:val="center"/>
            <w:hideMark/>
          </w:tcPr>
          <w:p w14:paraId="45AAE7E6"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283.276,44</w:t>
            </w:r>
          </w:p>
        </w:tc>
        <w:tc>
          <w:tcPr>
            <w:tcW w:w="1559" w:type="dxa"/>
            <w:tcBorders>
              <w:top w:val="nil"/>
              <w:left w:val="nil"/>
              <w:bottom w:val="single" w:sz="4" w:space="0" w:color="auto"/>
              <w:right w:val="single" w:sz="4" w:space="0" w:color="auto"/>
            </w:tcBorders>
            <w:shd w:val="clear" w:color="auto" w:fill="auto"/>
            <w:noWrap/>
            <w:vAlign w:val="bottom"/>
            <w:hideMark/>
          </w:tcPr>
          <w:p w14:paraId="488F405D"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0,88%</w:t>
            </w:r>
          </w:p>
        </w:tc>
      </w:tr>
      <w:tr w:rsidR="00537C11" w:rsidRPr="000E700A" w14:paraId="6925C46B" w14:textId="77777777" w:rsidTr="00537C11">
        <w:trPr>
          <w:trHeight w:val="315"/>
        </w:trPr>
        <w:tc>
          <w:tcPr>
            <w:tcW w:w="5118" w:type="dxa"/>
            <w:tcBorders>
              <w:top w:val="nil"/>
              <w:left w:val="single" w:sz="4" w:space="0" w:color="auto"/>
              <w:bottom w:val="single" w:sz="4" w:space="0" w:color="auto"/>
              <w:right w:val="single" w:sz="4" w:space="0" w:color="auto"/>
            </w:tcBorders>
            <w:shd w:val="clear" w:color="000000" w:fill="DAF2D0"/>
            <w:vAlign w:val="center"/>
            <w:hideMark/>
          </w:tcPr>
          <w:p w14:paraId="6AD07561" w14:textId="77777777" w:rsidR="00537C11" w:rsidRPr="000E700A" w:rsidRDefault="00537C11" w:rsidP="00537C11">
            <w:pPr>
              <w:ind w:firstLineChars="200" w:firstLine="482"/>
              <w:rPr>
                <w:b/>
                <w:bCs/>
                <w:sz w:val="24"/>
                <w:szCs w:val="24"/>
                <w:lang w:val="hr-HR" w:eastAsia="hr-HR"/>
                <w14:ligatures w14:val="standardContextual"/>
              </w:rPr>
            </w:pPr>
            <w:r w:rsidRPr="000E700A">
              <w:rPr>
                <w:b/>
                <w:bCs/>
                <w:sz w:val="24"/>
                <w:szCs w:val="24"/>
                <w:lang w:val="hr-HR" w:eastAsia="hr-HR"/>
                <w14:ligatures w14:val="standardContextual"/>
              </w:rPr>
              <w:lastRenderedPageBreak/>
              <w:t>RASHODI</w:t>
            </w:r>
          </w:p>
        </w:tc>
        <w:tc>
          <w:tcPr>
            <w:tcW w:w="2694" w:type="dxa"/>
            <w:tcBorders>
              <w:top w:val="nil"/>
              <w:left w:val="nil"/>
              <w:bottom w:val="single" w:sz="4" w:space="0" w:color="auto"/>
              <w:right w:val="single" w:sz="4" w:space="0" w:color="auto"/>
            </w:tcBorders>
            <w:shd w:val="clear" w:color="000000" w:fill="DAF2D0"/>
            <w:noWrap/>
            <w:vAlign w:val="center"/>
            <w:hideMark/>
          </w:tcPr>
          <w:p w14:paraId="5A33EC51" w14:textId="77777777" w:rsidR="00537C11" w:rsidRPr="000E700A" w:rsidRDefault="00537C11" w:rsidP="00537C1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29.007.759,83</w:t>
            </w:r>
          </w:p>
        </w:tc>
        <w:tc>
          <w:tcPr>
            <w:tcW w:w="1559" w:type="dxa"/>
            <w:tcBorders>
              <w:top w:val="nil"/>
              <w:left w:val="nil"/>
              <w:bottom w:val="single" w:sz="4" w:space="0" w:color="auto"/>
              <w:right w:val="single" w:sz="4" w:space="0" w:color="auto"/>
            </w:tcBorders>
            <w:shd w:val="clear" w:color="000000" w:fill="DAF2D0"/>
            <w:noWrap/>
            <w:vAlign w:val="center"/>
            <w:hideMark/>
          </w:tcPr>
          <w:p w14:paraId="14FDD6CA" w14:textId="77777777" w:rsidR="00537C11" w:rsidRPr="000E700A" w:rsidRDefault="00537C11" w:rsidP="00537C11">
            <w:pPr>
              <w:jc w:val="right"/>
              <w:rPr>
                <w:b/>
                <w:bCs/>
                <w:color w:val="000000"/>
                <w:sz w:val="24"/>
                <w:szCs w:val="24"/>
                <w:lang w:val="hr-HR" w:eastAsia="hr-HR"/>
                <w14:ligatures w14:val="standardContextual"/>
              </w:rPr>
            </w:pPr>
            <w:r w:rsidRPr="000E700A">
              <w:rPr>
                <w:b/>
                <w:bCs/>
                <w:color w:val="000000"/>
                <w:sz w:val="24"/>
                <w:szCs w:val="24"/>
                <w:lang w:val="hr-HR" w:eastAsia="hr-HR"/>
                <w14:ligatures w14:val="standardContextual"/>
              </w:rPr>
              <w:t> </w:t>
            </w:r>
          </w:p>
        </w:tc>
      </w:tr>
      <w:tr w:rsidR="00537C11" w:rsidRPr="000E700A" w14:paraId="3DE9622C"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68ED302F"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11 Opći prihodi i primici</w:t>
            </w:r>
          </w:p>
        </w:tc>
        <w:tc>
          <w:tcPr>
            <w:tcW w:w="2694" w:type="dxa"/>
            <w:tcBorders>
              <w:top w:val="nil"/>
              <w:left w:val="nil"/>
              <w:bottom w:val="single" w:sz="4" w:space="0" w:color="auto"/>
              <w:right w:val="single" w:sz="4" w:space="0" w:color="auto"/>
            </w:tcBorders>
            <w:shd w:val="clear" w:color="auto" w:fill="auto"/>
            <w:noWrap/>
            <w:vAlign w:val="center"/>
            <w:hideMark/>
          </w:tcPr>
          <w:p w14:paraId="6E5E69D1"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17.596.315,98</w:t>
            </w:r>
          </w:p>
        </w:tc>
        <w:tc>
          <w:tcPr>
            <w:tcW w:w="1559" w:type="dxa"/>
            <w:tcBorders>
              <w:top w:val="nil"/>
              <w:left w:val="nil"/>
              <w:bottom w:val="single" w:sz="4" w:space="0" w:color="auto"/>
              <w:right w:val="single" w:sz="4" w:space="0" w:color="auto"/>
            </w:tcBorders>
            <w:shd w:val="clear" w:color="auto" w:fill="auto"/>
            <w:noWrap/>
            <w:vAlign w:val="bottom"/>
            <w:hideMark/>
          </w:tcPr>
          <w:p w14:paraId="370E6299"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60,66%</w:t>
            </w:r>
          </w:p>
        </w:tc>
      </w:tr>
      <w:tr w:rsidR="00537C11" w:rsidRPr="000E700A" w14:paraId="57D7B58F"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3D67FC9D"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12 Sredstva učešća za pomoći</w:t>
            </w:r>
          </w:p>
        </w:tc>
        <w:tc>
          <w:tcPr>
            <w:tcW w:w="2694" w:type="dxa"/>
            <w:tcBorders>
              <w:top w:val="nil"/>
              <w:left w:val="nil"/>
              <w:bottom w:val="single" w:sz="4" w:space="0" w:color="auto"/>
              <w:right w:val="single" w:sz="4" w:space="0" w:color="auto"/>
            </w:tcBorders>
            <w:shd w:val="clear" w:color="auto" w:fill="auto"/>
            <w:noWrap/>
            <w:vAlign w:val="center"/>
            <w:hideMark/>
          </w:tcPr>
          <w:p w14:paraId="5952E993"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561.294,80</w:t>
            </w:r>
          </w:p>
        </w:tc>
        <w:tc>
          <w:tcPr>
            <w:tcW w:w="1559" w:type="dxa"/>
            <w:tcBorders>
              <w:top w:val="nil"/>
              <w:left w:val="nil"/>
              <w:bottom w:val="single" w:sz="4" w:space="0" w:color="auto"/>
              <w:right w:val="single" w:sz="4" w:space="0" w:color="auto"/>
            </w:tcBorders>
            <w:shd w:val="clear" w:color="auto" w:fill="auto"/>
            <w:noWrap/>
            <w:vAlign w:val="bottom"/>
            <w:hideMark/>
          </w:tcPr>
          <w:p w14:paraId="5CD7A4BC"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1,93%</w:t>
            </w:r>
          </w:p>
        </w:tc>
      </w:tr>
      <w:tr w:rsidR="00537C11" w:rsidRPr="000E700A" w14:paraId="2E312353"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095D130F"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31 Vlastiti prihodi</w:t>
            </w:r>
          </w:p>
        </w:tc>
        <w:tc>
          <w:tcPr>
            <w:tcW w:w="2694" w:type="dxa"/>
            <w:tcBorders>
              <w:top w:val="nil"/>
              <w:left w:val="nil"/>
              <w:bottom w:val="single" w:sz="4" w:space="0" w:color="auto"/>
              <w:right w:val="single" w:sz="4" w:space="0" w:color="auto"/>
            </w:tcBorders>
            <w:shd w:val="clear" w:color="auto" w:fill="auto"/>
            <w:noWrap/>
            <w:vAlign w:val="center"/>
            <w:hideMark/>
          </w:tcPr>
          <w:p w14:paraId="52B0CD56"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591,63</w:t>
            </w:r>
          </w:p>
        </w:tc>
        <w:tc>
          <w:tcPr>
            <w:tcW w:w="1559" w:type="dxa"/>
            <w:tcBorders>
              <w:top w:val="nil"/>
              <w:left w:val="nil"/>
              <w:bottom w:val="single" w:sz="4" w:space="0" w:color="auto"/>
              <w:right w:val="single" w:sz="4" w:space="0" w:color="auto"/>
            </w:tcBorders>
            <w:shd w:val="clear" w:color="auto" w:fill="auto"/>
            <w:noWrap/>
            <w:vAlign w:val="bottom"/>
            <w:hideMark/>
          </w:tcPr>
          <w:p w14:paraId="63C2407F"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0,00%</w:t>
            </w:r>
          </w:p>
        </w:tc>
      </w:tr>
      <w:tr w:rsidR="00537C11" w:rsidRPr="000E700A" w14:paraId="3EABC671"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2E25032A"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43 Ostali prihodi za posebne namjene</w:t>
            </w:r>
          </w:p>
        </w:tc>
        <w:tc>
          <w:tcPr>
            <w:tcW w:w="2694" w:type="dxa"/>
            <w:tcBorders>
              <w:top w:val="nil"/>
              <w:left w:val="nil"/>
              <w:bottom w:val="single" w:sz="4" w:space="0" w:color="auto"/>
              <w:right w:val="single" w:sz="4" w:space="0" w:color="auto"/>
            </w:tcBorders>
            <w:shd w:val="clear" w:color="auto" w:fill="auto"/>
            <w:noWrap/>
            <w:vAlign w:val="center"/>
            <w:hideMark/>
          </w:tcPr>
          <w:p w14:paraId="5CF73E32"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2.111.365,88</w:t>
            </w:r>
          </w:p>
        </w:tc>
        <w:tc>
          <w:tcPr>
            <w:tcW w:w="1559" w:type="dxa"/>
            <w:tcBorders>
              <w:top w:val="nil"/>
              <w:left w:val="nil"/>
              <w:bottom w:val="single" w:sz="4" w:space="0" w:color="auto"/>
              <w:right w:val="single" w:sz="4" w:space="0" w:color="auto"/>
            </w:tcBorders>
            <w:shd w:val="clear" w:color="auto" w:fill="auto"/>
            <w:noWrap/>
            <w:vAlign w:val="bottom"/>
            <w:hideMark/>
          </w:tcPr>
          <w:p w14:paraId="1419D923"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7,28%</w:t>
            </w:r>
          </w:p>
        </w:tc>
      </w:tr>
      <w:tr w:rsidR="00537C11" w:rsidRPr="000E700A" w14:paraId="3C0E3B03"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5EE8B5C4"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51 Pomoći EU</w:t>
            </w:r>
          </w:p>
        </w:tc>
        <w:tc>
          <w:tcPr>
            <w:tcW w:w="2694" w:type="dxa"/>
            <w:tcBorders>
              <w:top w:val="nil"/>
              <w:left w:val="nil"/>
              <w:bottom w:val="single" w:sz="4" w:space="0" w:color="auto"/>
              <w:right w:val="single" w:sz="4" w:space="0" w:color="auto"/>
            </w:tcBorders>
            <w:shd w:val="clear" w:color="auto" w:fill="auto"/>
            <w:noWrap/>
            <w:vAlign w:val="center"/>
            <w:hideMark/>
          </w:tcPr>
          <w:p w14:paraId="2091FC71"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1.198.862,19</w:t>
            </w:r>
          </w:p>
        </w:tc>
        <w:tc>
          <w:tcPr>
            <w:tcW w:w="1559" w:type="dxa"/>
            <w:tcBorders>
              <w:top w:val="nil"/>
              <w:left w:val="nil"/>
              <w:bottom w:val="single" w:sz="4" w:space="0" w:color="auto"/>
              <w:right w:val="single" w:sz="4" w:space="0" w:color="auto"/>
            </w:tcBorders>
            <w:shd w:val="clear" w:color="auto" w:fill="auto"/>
            <w:noWrap/>
            <w:vAlign w:val="bottom"/>
            <w:hideMark/>
          </w:tcPr>
          <w:p w14:paraId="1B8E4588"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4,13%</w:t>
            </w:r>
          </w:p>
        </w:tc>
      </w:tr>
      <w:tr w:rsidR="00537C11" w:rsidRPr="000E700A" w14:paraId="038C6844"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08FABC4F"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52 Ostale pomoći</w:t>
            </w:r>
          </w:p>
        </w:tc>
        <w:tc>
          <w:tcPr>
            <w:tcW w:w="2694" w:type="dxa"/>
            <w:tcBorders>
              <w:top w:val="nil"/>
              <w:left w:val="nil"/>
              <w:bottom w:val="single" w:sz="4" w:space="0" w:color="auto"/>
              <w:right w:val="single" w:sz="4" w:space="0" w:color="auto"/>
            </w:tcBorders>
            <w:shd w:val="clear" w:color="auto" w:fill="auto"/>
            <w:noWrap/>
            <w:vAlign w:val="center"/>
            <w:hideMark/>
          </w:tcPr>
          <w:p w14:paraId="1616CA7D"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29.052,00</w:t>
            </w:r>
          </w:p>
        </w:tc>
        <w:tc>
          <w:tcPr>
            <w:tcW w:w="1559" w:type="dxa"/>
            <w:tcBorders>
              <w:top w:val="nil"/>
              <w:left w:val="nil"/>
              <w:bottom w:val="single" w:sz="4" w:space="0" w:color="auto"/>
              <w:right w:val="single" w:sz="4" w:space="0" w:color="auto"/>
            </w:tcBorders>
            <w:shd w:val="clear" w:color="auto" w:fill="auto"/>
            <w:noWrap/>
            <w:vAlign w:val="bottom"/>
            <w:hideMark/>
          </w:tcPr>
          <w:p w14:paraId="0362E233"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0,10%</w:t>
            </w:r>
          </w:p>
        </w:tc>
      </w:tr>
      <w:tr w:rsidR="00537C11" w:rsidRPr="000E700A" w14:paraId="02CE6A8D"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3C88B2D9"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55 Refundacije iz pomoći EU</w:t>
            </w:r>
          </w:p>
        </w:tc>
        <w:tc>
          <w:tcPr>
            <w:tcW w:w="2694" w:type="dxa"/>
            <w:tcBorders>
              <w:top w:val="nil"/>
              <w:left w:val="nil"/>
              <w:bottom w:val="single" w:sz="4" w:space="0" w:color="auto"/>
              <w:right w:val="single" w:sz="4" w:space="0" w:color="auto"/>
            </w:tcBorders>
            <w:shd w:val="clear" w:color="auto" w:fill="auto"/>
            <w:noWrap/>
            <w:vAlign w:val="center"/>
            <w:hideMark/>
          </w:tcPr>
          <w:p w14:paraId="634206DF"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w:t>
            </w:r>
          </w:p>
        </w:tc>
        <w:tc>
          <w:tcPr>
            <w:tcW w:w="1559" w:type="dxa"/>
            <w:tcBorders>
              <w:top w:val="nil"/>
              <w:left w:val="nil"/>
              <w:bottom w:val="single" w:sz="4" w:space="0" w:color="auto"/>
              <w:right w:val="single" w:sz="4" w:space="0" w:color="auto"/>
            </w:tcBorders>
            <w:shd w:val="clear" w:color="auto" w:fill="auto"/>
            <w:noWrap/>
            <w:vAlign w:val="bottom"/>
            <w:hideMark/>
          </w:tcPr>
          <w:p w14:paraId="770E8342"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0,00%</w:t>
            </w:r>
          </w:p>
        </w:tc>
      </w:tr>
      <w:tr w:rsidR="00537C11" w:rsidRPr="000E700A" w14:paraId="127A65D7"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43DA422B"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56 Fondovi EU</w:t>
            </w:r>
          </w:p>
        </w:tc>
        <w:tc>
          <w:tcPr>
            <w:tcW w:w="2694" w:type="dxa"/>
            <w:tcBorders>
              <w:top w:val="nil"/>
              <w:left w:val="nil"/>
              <w:bottom w:val="single" w:sz="4" w:space="0" w:color="auto"/>
              <w:right w:val="single" w:sz="4" w:space="0" w:color="auto"/>
            </w:tcBorders>
            <w:shd w:val="clear" w:color="auto" w:fill="auto"/>
            <w:noWrap/>
            <w:vAlign w:val="center"/>
            <w:hideMark/>
          </w:tcPr>
          <w:p w14:paraId="27294623"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2.019.400,36</w:t>
            </w:r>
          </w:p>
        </w:tc>
        <w:tc>
          <w:tcPr>
            <w:tcW w:w="1559" w:type="dxa"/>
            <w:tcBorders>
              <w:top w:val="nil"/>
              <w:left w:val="nil"/>
              <w:bottom w:val="single" w:sz="4" w:space="0" w:color="auto"/>
              <w:right w:val="single" w:sz="4" w:space="0" w:color="auto"/>
            </w:tcBorders>
            <w:shd w:val="clear" w:color="auto" w:fill="auto"/>
            <w:noWrap/>
            <w:vAlign w:val="bottom"/>
            <w:hideMark/>
          </w:tcPr>
          <w:p w14:paraId="75748760"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6,96%</w:t>
            </w:r>
          </w:p>
        </w:tc>
      </w:tr>
      <w:tr w:rsidR="00537C11" w:rsidRPr="000E700A" w14:paraId="4F41FEA3"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7CA1953C"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57 Ostali programi EU</w:t>
            </w:r>
          </w:p>
        </w:tc>
        <w:tc>
          <w:tcPr>
            <w:tcW w:w="2694" w:type="dxa"/>
            <w:tcBorders>
              <w:top w:val="nil"/>
              <w:left w:val="nil"/>
              <w:bottom w:val="single" w:sz="4" w:space="0" w:color="auto"/>
              <w:right w:val="single" w:sz="4" w:space="0" w:color="auto"/>
            </w:tcBorders>
            <w:shd w:val="clear" w:color="auto" w:fill="auto"/>
            <w:noWrap/>
            <w:vAlign w:val="center"/>
            <w:hideMark/>
          </w:tcPr>
          <w:p w14:paraId="5DE71E79"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1.409.783,12</w:t>
            </w:r>
          </w:p>
        </w:tc>
        <w:tc>
          <w:tcPr>
            <w:tcW w:w="1559" w:type="dxa"/>
            <w:tcBorders>
              <w:top w:val="nil"/>
              <w:left w:val="nil"/>
              <w:bottom w:val="single" w:sz="4" w:space="0" w:color="auto"/>
              <w:right w:val="single" w:sz="4" w:space="0" w:color="auto"/>
            </w:tcBorders>
            <w:shd w:val="clear" w:color="auto" w:fill="auto"/>
            <w:noWrap/>
            <w:vAlign w:val="bottom"/>
            <w:hideMark/>
          </w:tcPr>
          <w:p w14:paraId="0688F595"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4,86%</w:t>
            </w:r>
          </w:p>
        </w:tc>
      </w:tr>
      <w:tr w:rsidR="00537C11" w:rsidRPr="000E700A" w14:paraId="5E03CE3D"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31D2A52F"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58 Instrumenti EU nove generacije</w:t>
            </w:r>
          </w:p>
        </w:tc>
        <w:tc>
          <w:tcPr>
            <w:tcW w:w="2694" w:type="dxa"/>
            <w:tcBorders>
              <w:top w:val="nil"/>
              <w:left w:val="nil"/>
              <w:bottom w:val="single" w:sz="4" w:space="0" w:color="auto"/>
              <w:right w:val="single" w:sz="4" w:space="0" w:color="auto"/>
            </w:tcBorders>
            <w:shd w:val="clear" w:color="auto" w:fill="auto"/>
            <w:noWrap/>
            <w:vAlign w:val="center"/>
            <w:hideMark/>
          </w:tcPr>
          <w:p w14:paraId="7917BA1D"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3.746.416,58</w:t>
            </w:r>
          </w:p>
        </w:tc>
        <w:tc>
          <w:tcPr>
            <w:tcW w:w="1559" w:type="dxa"/>
            <w:tcBorders>
              <w:top w:val="nil"/>
              <w:left w:val="nil"/>
              <w:bottom w:val="single" w:sz="4" w:space="0" w:color="auto"/>
              <w:right w:val="single" w:sz="4" w:space="0" w:color="auto"/>
            </w:tcBorders>
            <w:shd w:val="clear" w:color="auto" w:fill="auto"/>
            <w:noWrap/>
            <w:vAlign w:val="bottom"/>
            <w:hideMark/>
          </w:tcPr>
          <w:p w14:paraId="1E4BD3A9"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12,92%</w:t>
            </w:r>
          </w:p>
        </w:tc>
      </w:tr>
      <w:tr w:rsidR="00537C11" w:rsidRPr="000E700A" w14:paraId="1F156A2A" w14:textId="77777777" w:rsidTr="00537C11">
        <w:trPr>
          <w:trHeight w:val="315"/>
        </w:trPr>
        <w:tc>
          <w:tcPr>
            <w:tcW w:w="5118" w:type="dxa"/>
            <w:tcBorders>
              <w:top w:val="nil"/>
              <w:left w:val="single" w:sz="4" w:space="0" w:color="auto"/>
              <w:bottom w:val="single" w:sz="4" w:space="0" w:color="auto"/>
              <w:right w:val="single" w:sz="4" w:space="0" w:color="auto"/>
            </w:tcBorders>
            <w:shd w:val="clear" w:color="auto" w:fill="auto"/>
            <w:vAlign w:val="center"/>
            <w:hideMark/>
          </w:tcPr>
          <w:p w14:paraId="530BDDD0" w14:textId="77777777" w:rsidR="00537C11" w:rsidRPr="000E700A" w:rsidRDefault="00537C11" w:rsidP="00537C11">
            <w:pPr>
              <w:ind w:firstLineChars="400" w:firstLine="960"/>
              <w:rPr>
                <w:sz w:val="24"/>
                <w:szCs w:val="24"/>
                <w:lang w:val="hr-HR" w:eastAsia="hr-HR"/>
                <w14:ligatures w14:val="standardContextual"/>
              </w:rPr>
            </w:pPr>
            <w:r w:rsidRPr="000E700A">
              <w:rPr>
                <w:sz w:val="24"/>
                <w:szCs w:val="24"/>
                <w:lang w:val="hr-HR" w:eastAsia="hr-HR"/>
                <w14:ligatures w14:val="standardContextual"/>
              </w:rPr>
              <w:t>63 Inozemne donacije</w:t>
            </w:r>
          </w:p>
        </w:tc>
        <w:tc>
          <w:tcPr>
            <w:tcW w:w="2694" w:type="dxa"/>
            <w:tcBorders>
              <w:top w:val="nil"/>
              <w:left w:val="nil"/>
              <w:bottom w:val="single" w:sz="4" w:space="0" w:color="auto"/>
              <w:right w:val="single" w:sz="4" w:space="0" w:color="auto"/>
            </w:tcBorders>
            <w:shd w:val="clear" w:color="auto" w:fill="auto"/>
            <w:noWrap/>
            <w:vAlign w:val="center"/>
            <w:hideMark/>
          </w:tcPr>
          <w:p w14:paraId="094964BC"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334.677,29</w:t>
            </w:r>
          </w:p>
        </w:tc>
        <w:tc>
          <w:tcPr>
            <w:tcW w:w="1559" w:type="dxa"/>
            <w:tcBorders>
              <w:top w:val="nil"/>
              <w:left w:val="nil"/>
              <w:bottom w:val="single" w:sz="4" w:space="0" w:color="auto"/>
              <w:right w:val="single" w:sz="4" w:space="0" w:color="auto"/>
            </w:tcBorders>
            <w:shd w:val="clear" w:color="auto" w:fill="auto"/>
            <w:noWrap/>
            <w:vAlign w:val="bottom"/>
            <w:hideMark/>
          </w:tcPr>
          <w:p w14:paraId="5FAA308D" w14:textId="77777777" w:rsidR="00537C11" w:rsidRPr="000E700A" w:rsidRDefault="00537C11" w:rsidP="00537C11">
            <w:pPr>
              <w:jc w:val="right"/>
              <w:rPr>
                <w:color w:val="000000"/>
                <w:sz w:val="24"/>
                <w:szCs w:val="24"/>
                <w:lang w:val="hr-HR" w:eastAsia="hr-HR"/>
                <w14:ligatures w14:val="standardContextual"/>
              </w:rPr>
            </w:pPr>
            <w:r w:rsidRPr="000E700A">
              <w:rPr>
                <w:color w:val="000000"/>
                <w:sz w:val="24"/>
                <w:szCs w:val="24"/>
                <w:lang w:val="hr-HR" w:eastAsia="hr-HR"/>
                <w14:ligatures w14:val="standardContextual"/>
              </w:rPr>
              <w:t>1,15%</w:t>
            </w:r>
          </w:p>
        </w:tc>
      </w:tr>
    </w:tbl>
    <w:p w14:paraId="6EE71418" w14:textId="77777777" w:rsidR="005F29DC" w:rsidRPr="000E700A" w:rsidRDefault="005F29DC" w:rsidP="00EE20D1">
      <w:pPr>
        <w:spacing w:line="360" w:lineRule="auto"/>
        <w:jc w:val="both"/>
        <w:rPr>
          <w:sz w:val="24"/>
          <w:szCs w:val="24"/>
        </w:rPr>
      </w:pPr>
    </w:p>
    <w:p w14:paraId="11E4AA81" w14:textId="77777777" w:rsidR="002C5754" w:rsidRPr="000E700A" w:rsidRDefault="002C5754" w:rsidP="00CC2DDC">
      <w:pPr>
        <w:spacing w:line="360" w:lineRule="auto"/>
        <w:jc w:val="both"/>
        <w:rPr>
          <w:b/>
          <w:sz w:val="24"/>
          <w:szCs w:val="24"/>
          <w:lang w:val="hr-HR"/>
        </w:rPr>
      </w:pPr>
    </w:p>
    <w:p w14:paraId="6592BA71" w14:textId="77777777" w:rsidR="00510B63" w:rsidRPr="000E700A" w:rsidRDefault="00510B63" w:rsidP="00CC2DDC">
      <w:pPr>
        <w:spacing w:line="360" w:lineRule="auto"/>
        <w:jc w:val="both"/>
        <w:rPr>
          <w:bCs/>
          <w:sz w:val="24"/>
          <w:szCs w:val="24"/>
          <w:lang w:val="hr-HR"/>
        </w:rPr>
      </w:pPr>
    </w:p>
    <w:p w14:paraId="13BA5DA6" w14:textId="2AD12F35" w:rsidR="00510B63" w:rsidRPr="000E700A" w:rsidRDefault="006A4DA7" w:rsidP="006A4DA7">
      <w:pPr>
        <w:rPr>
          <w:b/>
          <w:bCs/>
          <w:sz w:val="24"/>
          <w:szCs w:val="24"/>
        </w:rPr>
      </w:pPr>
      <w:proofErr w:type="spellStart"/>
      <w:r w:rsidRPr="000E700A">
        <w:rPr>
          <w:b/>
          <w:bCs/>
          <w:sz w:val="24"/>
          <w:szCs w:val="24"/>
        </w:rPr>
        <w:t>O</w:t>
      </w:r>
      <w:r w:rsidR="00510B63" w:rsidRPr="000E700A">
        <w:rPr>
          <w:b/>
          <w:bCs/>
          <w:sz w:val="24"/>
          <w:szCs w:val="24"/>
        </w:rPr>
        <w:t>brazloženje</w:t>
      </w:r>
      <w:proofErr w:type="spellEnd"/>
      <w:r w:rsidR="00510B63" w:rsidRPr="000E700A">
        <w:rPr>
          <w:b/>
          <w:bCs/>
          <w:sz w:val="24"/>
          <w:szCs w:val="24"/>
        </w:rPr>
        <w:t xml:space="preserve"> </w:t>
      </w:r>
      <w:proofErr w:type="spellStart"/>
      <w:r w:rsidR="00510B63" w:rsidRPr="000E700A">
        <w:rPr>
          <w:b/>
          <w:bCs/>
          <w:sz w:val="24"/>
          <w:szCs w:val="24"/>
        </w:rPr>
        <w:t>prijenosa</w:t>
      </w:r>
      <w:proofErr w:type="spellEnd"/>
      <w:r w:rsidR="00510B63" w:rsidRPr="000E700A">
        <w:rPr>
          <w:b/>
          <w:bCs/>
          <w:sz w:val="24"/>
          <w:szCs w:val="24"/>
        </w:rPr>
        <w:t xml:space="preserve"> </w:t>
      </w:r>
      <w:proofErr w:type="spellStart"/>
      <w:r w:rsidR="00510B63" w:rsidRPr="000E700A">
        <w:rPr>
          <w:b/>
          <w:bCs/>
          <w:sz w:val="24"/>
          <w:szCs w:val="24"/>
        </w:rPr>
        <w:t>sredstava</w:t>
      </w:r>
      <w:proofErr w:type="spellEnd"/>
      <w:r w:rsidR="00510B63" w:rsidRPr="000E700A">
        <w:rPr>
          <w:b/>
          <w:bCs/>
          <w:sz w:val="24"/>
          <w:szCs w:val="24"/>
        </w:rPr>
        <w:t xml:space="preserve"> u </w:t>
      </w:r>
      <w:proofErr w:type="spellStart"/>
      <w:r w:rsidR="00510B63" w:rsidRPr="000E700A">
        <w:rPr>
          <w:b/>
          <w:bCs/>
          <w:sz w:val="24"/>
          <w:szCs w:val="24"/>
        </w:rPr>
        <w:t>sljedeću</w:t>
      </w:r>
      <w:proofErr w:type="spellEnd"/>
      <w:r w:rsidR="00510B63" w:rsidRPr="000E700A">
        <w:rPr>
          <w:b/>
          <w:bCs/>
          <w:sz w:val="24"/>
          <w:szCs w:val="24"/>
        </w:rPr>
        <w:t xml:space="preserve"> </w:t>
      </w:r>
      <w:proofErr w:type="spellStart"/>
      <w:r w:rsidR="00510B63" w:rsidRPr="000E700A">
        <w:rPr>
          <w:b/>
          <w:bCs/>
          <w:sz w:val="24"/>
          <w:szCs w:val="24"/>
        </w:rPr>
        <w:t>godinu</w:t>
      </w:r>
      <w:proofErr w:type="spellEnd"/>
    </w:p>
    <w:p w14:paraId="3E138203" w14:textId="77777777" w:rsidR="00510B63" w:rsidRPr="000E700A" w:rsidRDefault="00510B63" w:rsidP="00CC2DDC">
      <w:pPr>
        <w:spacing w:line="360" w:lineRule="auto"/>
        <w:jc w:val="both"/>
        <w:rPr>
          <w:sz w:val="24"/>
          <w:szCs w:val="24"/>
        </w:rPr>
      </w:pPr>
    </w:p>
    <w:p w14:paraId="3220C8F1" w14:textId="379EA785" w:rsidR="006A4DA7" w:rsidRPr="000E700A" w:rsidRDefault="006A4DA7" w:rsidP="006A4DA7">
      <w:pPr>
        <w:spacing w:after="120" w:line="360" w:lineRule="auto"/>
        <w:jc w:val="both"/>
        <w:rPr>
          <w:sz w:val="24"/>
          <w:szCs w:val="24"/>
        </w:rPr>
      </w:pPr>
      <w:proofErr w:type="spellStart"/>
      <w:r w:rsidRPr="000E700A">
        <w:rPr>
          <w:sz w:val="24"/>
          <w:szCs w:val="24"/>
        </w:rPr>
        <w:t>Ukupan</w:t>
      </w:r>
      <w:proofErr w:type="spellEnd"/>
      <w:r w:rsidRPr="000E700A">
        <w:rPr>
          <w:sz w:val="24"/>
          <w:szCs w:val="24"/>
        </w:rPr>
        <w:t xml:space="preserve"> </w:t>
      </w:r>
      <w:proofErr w:type="spellStart"/>
      <w:r w:rsidRPr="000E700A">
        <w:rPr>
          <w:sz w:val="24"/>
          <w:szCs w:val="24"/>
        </w:rPr>
        <w:t>iznos</w:t>
      </w:r>
      <w:proofErr w:type="spellEnd"/>
      <w:r w:rsidRPr="000E700A">
        <w:rPr>
          <w:sz w:val="24"/>
          <w:szCs w:val="24"/>
        </w:rPr>
        <w:t xml:space="preserve"> </w:t>
      </w:r>
      <w:proofErr w:type="spellStart"/>
      <w:r w:rsidRPr="000E700A">
        <w:rPr>
          <w:sz w:val="24"/>
          <w:szCs w:val="24"/>
        </w:rPr>
        <w:t>prijenosa</w:t>
      </w:r>
      <w:proofErr w:type="spellEnd"/>
      <w:r w:rsidRPr="000E700A">
        <w:rPr>
          <w:sz w:val="24"/>
          <w:szCs w:val="24"/>
        </w:rPr>
        <w:t xml:space="preserve"> </w:t>
      </w:r>
      <w:proofErr w:type="spellStart"/>
      <w:r w:rsidRPr="000E700A">
        <w:rPr>
          <w:sz w:val="24"/>
          <w:szCs w:val="24"/>
        </w:rPr>
        <w:t>sred</w:t>
      </w:r>
      <w:r w:rsidR="00CB54ED" w:rsidRPr="000E700A">
        <w:rPr>
          <w:sz w:val="24"/>
          <w:szCs w:val="24"/>
        </w:rPr>
        <w:t>s</w:t>
      </w:r>
      <w:r w:rsidRPr="000E700A">
        <w:rPr>
          <w:sz w:val="24"/>
          <w:szCs w:val="24"/>
        </w:rPr>
        <w:t>tava</w:t>
      </w:r>
      <w:proofErr w:type="spellEnd"/>
      <w:r w:rsidRPr="000E700A">
        <w:rPr>
          <w:sz w:val="24"/>
          <w:szCs w:val="24"/>
        </w:rPr>
        <w:t xml:space="preserve"> u </w:t>
      </w:r>
      <w:proofErr w:type="spellStart"/>
      <w:r w:rsidRPr="000E700A">
        <w:rPr>
          <w:sz w:val="24"/>
          <w:szCs w:val="24"/>
        </w:rPr>
        <w:t>slijedeće</w:t>
      </w:r>
      <w:proofErr w:type="spellEnd"/>
      <w:r w:rsidRPr="000E700A">
        <w:rPr>
          <w:sz w:val="24"/>
          <w:szCs w:val="24"/>
        </w:rPr>
        <w:t xml:space="preserve"> </w:t>
      </w:r>
      <w:proofErr w:type="spellStart"/>
      <w:r w:rsidRPr="000E700A">
        <w:rPr>
          <w:sz w:val="24"/>
          <w:szCs w:val="24"/>
        </w:rPr>
        <w:t>razdoblje</w:t>
      </w:r>
      <w:proofErr w:type="spellEnd"/>
      <w:r w:rsidRPr="000E700A">
        <w:rPr>
          <w:sz w:val="24"/>
          <w:szCs w:val="24"/>
        </w:rPr>
        <w:t xml:space="preserve"> </w:t>
      </w:r>
      <w:proofErr w:type="spellStart"/>
      <w:r w:rsidRPr="000E700A">
        <w:rPr>
          <w:sz w:val="24"/>
          <w:szCs w:val="24"/>
        </w:rPr>
        <w:t>iznosi</w:t>
      </w:r>
      <w:proofErr w:type="spellEnd"/>
      <w:r w:rsidRPr="000E700A">
        <w:rPr>
          <w:sz w:val="24"/>
          <w:szCs w:val="24"/>
        </w:rPr>
        <w:t xml:space="preserve"> 5.791.712,57 EUR </w:t>
      </w:r>
      <w:proofErr w:type="spellStart"/>
      <w:r w:rsidRPr="000E700A">
        <w:rPr>
          <w:sz w:val="24"/>
          <w:szCs w:val="24"/>
        </w:rPr>
        <w:t>i</w:t>
      </w:r>
      <w:proofErr w:type="spellEnd"/>
      <w:r w:rsidRPr="000E700A">
        <w:rPr>
          <w:sz w:val="24"/>
          <w:szCs w:val="24"/>
        </w:rPr>
        <w:t xml:space="preserve"> </w:t>
      </w:r>
      <w:r w:rsidR="00CB54ED" w:rsidRPr="000E700A">
        <w:rPr>
          <w:sz w:val="24"/>
          <w:szCs w:val="24"/>
        </w:rPr>
        <w:t xml:space="preserve">u </w:t>
      </w:r>
      <w:proofErr w:type="spellStart"/>
      <w:r w:rsidR="00CB54ED" w:rsidRPr="000E700A">
        <w:rPr>
          <w:sz w:val="24"/>
          <w:szCs w:val="24"/>
        </w:rPr>
        <w:t>nastavku</w:t>
      </w:r>
      <w:proofErr w:type="spellEnd"/>
      <w:r w:rsidR="00CB54ED" w:rsidRPr="000E700A">
        <w:rPr>
          <w:sz w:val="24"/>
          <w:szCs w:val="24"/>
        </w:rPr>
        <w:t xml:space="preserve"> je </w:t>
      </w:r>
      <w:proofErr w:type="spellStart"/>
      <w:r w:rsidR="00CB54ED" w:rsidRPr="000E700A">
        <w:rPr>
          <w:sz w:val="24"/>
          <w:szCs w:val="24"/>
        </w:rPr>
        <w:t>prikazana</w:t>
      </w:r>
      <w:proofErr w:type="spellEnd"/>
      <w:r w:rsidR="00CB54ED" w:rsidRPr="000E700A">
        <w:rPr>
          <w:sz w:val="24"/>
          <w:szCs w:val="24"/>
        </w:rPr>
        <w:t xml:space="preserve"> </w:t>
      </w:r>
      <w:proofErr w:type="spellStart"/>
      <w:r w:rsidR="00CB54ED" w:rsidRPr="000E700A">
        <w:rPr>
          <w:sz w:val="24"/>
          <w:szCs w:val="24"/>
        </w:rPr>
        <w:t>str</w:t>
      </w:r>
      <w:r w:rsidR="00410ECF" w:rsidRPr="000E700A">
        <w:rPr>
          <w:sz w:val="24"/>
          <w:szCs w:val="24"/>
        </w:rPr>
        <w:t>uktura</w:t>
      </w:r>
      <w:proofErr w:type="spellEnd"/>
      <w:r w:rsidR="00410ECF" w:rsidRPr="000E700A">
        <w:rPr>
          <w:sz w:val="24"/>
          <w:szCs w:val="24"/>
        </w:rPr>
        <w:t xml:space="preserve"> </w:t>
      </w:r>
      <w:proofErr w:type="spellStart"/>
      <w:r w:rsidR="00410ECF" w:rsidRPr="000E700A">
        <w:rPr>
          <w:sz w:val="24"/>
          <w:szCs w:val="24"/>
        </w:rPr>
        <w:t>prijenosa</w:t>
      </w:r>
      <w:proofErr w:type="spellEnd"/>
      <w:r w:rsidR="00410ECF" w:rsidRPr="000E700A">
        <w:rPr>
          <w:sz w:val="24"/>
          <w:szCs w:val="24"/>
        </w:rPr>
        <w:t xml:space="preserve"> </w:t>
      </w:r>
      <w:proofErr w:type="spellStart"/>
      <w:r w:rsidR="00410ECF" w:rsidRPr="000E700A">
        <w:rPr>
          <w:sz w:val="24"/>
          <w:szCs w:val="24"/>
        </w:rPr>
        <w:t>sredstava</w:t>
      </w:r>
      <w:proofErr w:type="spellEnd"/>
      <w:r w:rsidR="00CB54ED" w:rsidRPr="000E700A">
        <w:rPr>
          <w:sz w:val="24"/>
          <w:szCs w:val="24"/>
        </w:rPr>
        <w:t xml:space="preserve"> po </w:t>
      </w:r>
      <w:proofErr w:type="spellStart"/>
      <w:r w:rsidR="00CB54ED" w:rsidRPr="000E700A">
        <w:rPr>
          <w:sz w:val="24"/>
          <w:szCs w:val="24"/>
        </w:rPr>
        <w:t>izvorima</w:t>
      </w:r>
      <w:proofErr w:type="spellEnd"/>
      <w:r w:rsidR="00CB54ED" w:rsidRPr="000E700A">
        <w:rPr>
          <w:sz w:val="24"/>
          <w:szCs w:val="24"/>
        </w:rPr>
        <w:t>:</w:t>
      </w:r>
    </w:p>
    <w:tbl>
      <w:tblPr>
        <w:tblW w:w="6752" w:type="dxa"/>
        <w:tblInd w:w="-20" w:type="dxa"/>
        <w:tblLook w:val="04A0" w:firstRow="1" w:lastRow="0" w:firstColumn="1" w:lastColumn="0" w:noHBand="0" w:noVBand="1"/>
      </w:tblPr>
      <w:tblGrid>
        <w:gridCol w:w="2992"/>
        <w:gridCol w:w="2436"/>
        <w:gridCol w:w="1916"/>
      </w:tblGrid>
      <w:tr w:rsidR="00CB54ED" w:rsidRPr="000E700A" w14:paraId="222247F1" w14:textId="77777777" w:rsidTr="00410ECF">
        <w:trPr>
          <w:trHeight w:val="300"/>
        </w:trPr>
        <w:tc>
          <w:tcPr>
            <w:tcW w:w="299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680D0FB"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Izvori financiranja</w:t>
            </w:r>
          </w:p>
        </w:tc>
        <w:tc>
          <w:tcPr>
            <w:tcW w:w="1844" w:type="dxa"/>
            <w:tcBorders>
              <w:top w:val="single" w:sz="4" w:space="0" w:color="auto"/>
              <w:left w:val="nil"/>
              <w:bottom w:val="single" w:sz="4" w:space="0" w:color="auto"/>
              <w:right w:val="single" w:sz="4" w:space="0" w:color="auto"/>
            </w:tcBorders>
            <w:shd w:val="clear" w:color="000000" w:fill="D9D9D9"/>
            <w:noWrap/>
            <w:vAlign w:val="bottom"/>
            <w:hideMark/>
          </w:tcPr>
          <w:p w14:paraId="66DDF9C2"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 xml:space="preserve">Iznos </w:t>
            </w:r>
          </w:p>
        </w:tc>
        <w:tc>
          <w:tcPr>
            <w:tcW w:w="1916" w:type="dxa"/>
            <w:tcBorders>
              <w:top w:val="single" w:sz="4" w:space="0" w:color="auto"/>
              <w:left w:val="nil"/>
              <w:bottom w:val="single" w:sz="4" w:space="0" w:color="auto"/>
              <w:right w:val="single" w:sz="4" w:space="0" w:color="auto"/>
            </w:tcBorders>
            <w:shd w:val="clear" w:color="000000" w:fill="D9D9D9"/>
            <w:noWrap/>
            <w:vAlign w:val="bottom"/>
            <w:hideMark/>
          </w:tcPr>
          <w:p w14:paraId="6CC379BD"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Udio</w:t>
            </w:r>
          </w:p>
        </w:tc>
      </w:tr>
      <w:tr w:rsidR="00CB54ED" w:rsidRPr="000E700A" w14:paraId="71FBBC7D" w14:textId="77777777" w:rsidTr="00410ECF">
        <w:trPr>
          <w:trHeight w:val="300"/>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14:paraId="182E9AD5"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Ukupno</w:t>
            </w:r>
          </w:p>
        </w:tc>
        <w:tc>
          <w:tcPr>
            <w:tcW w:w="1844" w:type="dxa"/>
            <w:tcBorders>
              <w:top w:val="nil"/>
              <w:left w:val="nil"/>
              <w:bottom w:val="single" w:sz="4" w:space="0" w:color="auto"/>
              <w:right w:val="single" w:sz="4" w:space="0" w:color="auto"/>
            </w:tcBorders>
            <w:shd w:val="clear" w:color="auto" w:fill="auto"/>
            <w:noWrap/>
            <w:vAlign w:val="bottom"/>
            <w:hideMark/>
          </w:tcPr>
          <w:p w14:paraId="4EF68C49"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5.791.711,79</w:t>
            </w:r>
          </w:p>
        </w:tc>
        <w:tc>
          <w:tcPr>
            <w:tcW w:w="1916" w:type="dxa"/>
            <w:tcBorders>
              <w:top w:val="nil"/>
              <w:left w:val="nil"/>
              <w:bottom w:val="single" w:sz="4" w:space="0" w:color="auto"/>
              <w:right w:val="single" w:sz="4" w:space="0" w:color="auto"/>
            </w:tcBorders>
            <w:shd w:val="clear" w:color="auto" w:fill="auto"/>
            <w:noWrap/>
            <w:vAlign w:val="bottom"/>
            <w:hideMark/>
          </w:tcPr>
          <w:p w14:paraId="63709B1E"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 </w:t>
            </w:r>
          </w:p>
        </w:tc>
      </w:tr>
      <w:tr w:rsidR="00CB54ED" w:rsidRPr="000E700A" w14:paraId="17B4BE1B" w14:textId="77777777" w:rsidTr="00410ECF">
        <w:trPr>
          <w:trHeight w:val="300"/>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14:paraId="617B0B82"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43</w:t>
            </w:r>
          </w:p>
        </w:tc>
        <w:tc>
          <w:tcPr>
            <w:tcW w:w="1844" w:type="dxa"/>
            <w:tcBorders>
              <w:top w:val="nil"/>
              <w:left w:val="nil"/>
              <w:bottom w:val="single" w:sz="4" w:space="0" w:color="auto"/>
              <w:right w:val="single" w:sz="4" w:space="0" w:color="auto"/>
            </w:tcBorders>
            <w:shd w:val="clear" w:color="auto" w:fill="auto"/>
            <w:noWrap/>
            <w:vAlign w:val="bottom"/>
            <w:hideMark/>
          </w:tcPr>
          <w:p w14:paraId="48755D0F"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1.800.663,14</w:t>
            </w:r>
          </w:p>
        </w:tc>
        <w:tc>
          <w:tcPr>
            <w:tcW w:w="1916" w:type="dxa"/>
            <w:tcBorders>
              <w:top w:val="nil"/>
              <w:left w:val="nil"/>
              <w:bottom w:val="single" w:sz="4" w:space="0" w:color="auto"/>
              <w:right w:val="single" w:sz="4" w:space="0" w:color="auto"/>
            </w:tcBorders>
            <w:shd w:val="clear" w:color="auto" w:fill="auto"/>
            <w:noWrap/>
            <w:vAlign w:val="bottom"/>
            <w:hideMark/>
          </w:tcPr>
          <w:p w14:paraId="597FD254"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31,09%</w:t>
            </w:r>
          </w:p>
        </w:tc>
      </w:tr>
      <w:tr w:rsidR="00CB54ED" w:rsidRPr="000E700A" w14:paraId="7E252070" w14:textId="77777777" w:rsidTr="00410ECF">
        <w:trPr>
          <w:trHeight w:val="300"/>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14:paraId="0BEDC045"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52</w:t>
            </w:r>
          </w:p>
        </w:tc>
        <w:tc>
          <w:tcPr>
            <w:tcW w:w="1844" w:type="dxa"/>
            <w:tcBorders>
              <w:top w:val="nil"/>
              <w:left w:val="nil"/>
              <w:bottom w:val="single" w:sz="4" w:space="0" w:color="auto"/>
              <w:right w:val="single" w:sz="4" w:space="0" w:color="auto"/>
            </w:tcBorders>
            <w:shd w:val="clear" w:color="auto" w:fill="auto"/>
            <w:noWrap/>
            <w:vAlign w:val="bottom"/>
            <w:hideMark/>
          </w:tcPr>
          <w:p w14:paraId="3AF5BBDB"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52.047,09</w:t>
            </w:r>
          </w:p>
        </w:tc>
        <w:tc>
          <w:tcPr>
            <w:tcW w:w="1916" w:type="dxa"/>
            <w:tcBorders>
              <w:top w:val="nil"/>
              <w:left w:val="nil"/>
              <w:bottom w:val="single" w:sz="4" w:space="0" w:color="auto"/>
              <w:right w:val="single" w:sz="4" w:space="0" w:color="auto"/>
            </w:tcBorders>
            <w:shd w:val="clear" w:color="auto" w:fill="auto"/>
            <w:noWrap/>
            <w:vAlign w:val="bottom"/>
            <w:hideMark/>
          </w:tcPr>
          <w:p w14:paraId="0034A185"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0,90%</w:t>
            </w:r>
          </w:p>
        </w:tc>
      </w:tr>
      <w:tr w:rsidR="00CB54ED" w:rsidRPr="000E700A" w14:paraId="198AEC6D" w14:textId="77777777" w:rsidTr="00410ECF">
        <w:trPr>
          <w:trHeight w:val="300"/>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14:paraId="715A6092"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51</w:t>
            </w:r>
          </w:p>
        </w:tc>
        <w:tc>
          <w:tcPr>
            <w:tcW w:w="1844" w:type="dxa"/>
            <w:tcBorders>
              <w:top w:val="nil"/>
              <w:left w:val="nil"/>
              <w:bottom w:val="single" w:sz="4" w:space="0" w:color="auto"/>
              <w:right w:val="single" w:sz="4" w:space="0" w:color="auto"/>
            </w:tcBorders>
            <w:shd w:val="clear" w:color="auto" w:fill="auto"/>
            <w:noWrap/>
            <w:vAlign w:val="bottom"/>
            <w:hideMark/>
          </w:tcPr>
          <w:p w14:paraId="3337C13E"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3.605.123,10</w:t>
            </w:r>
          </w:p>
        </w:tc>
        <w:tc>
          <w:tcPr>
            <w:tcW w:w="1916" w:type="dxa"/>
            <w:tcBorders>
              <w:top w:val="nil"/>
              <w:left w:val="nil"/>
              <w:bottom w:val="single" w:sz="4" w:space="0" w:color="auto"/>
              <w:right w:val="single" w:sz="4" w:space="0" w:color="auto"/>
            </w:tcBorders>
            <w:shd w:val="clear" w:color="auto" w:fill="auto"/>
            <w:noWrap/>
            <w:vAlign w:val="bottom"/>
            <w:hideMark/>
          </w:tcPr>
          <w:p w14:paraId="7CFD3944"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62,25%</w:t>
            </w:r>
          </w:p>
        </w:tc>
      </w:tr>
      <w:tr w:rsidR="00CB54ED" w:rsidRPr="000E700A" w14:paraId="157C363B" w14:textId="77777777" w:rsidTr="00410ECF">
        <w:trPr>
          <w:trHeight w:val="300"/>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14:paraId="019CDBDB"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63</w:t>
            </w:r>
          </w:p>
        </w:tc>
        <w:tc>
          <w:tcPr>
            <w:tcW w:w="1844" w:type="dxa"/>
            <w:tcBorders>
              <w:top w:val="nil"/>
              <w:left w:val="nil"/>
              <w:bottom w:val="single" w:sz="4" w:space="0" w:color="auto"/>
              <w:right w:val="single" w:sz="4" w:space="0" w:color="auto"/>
            </w:tcBorders>
            <w:shd w:val="clear" w:color="auto" w:fill="auto"/>
            <w:noWrap/>
            <w:vAlign w:val="bottom"/>
            <w:hideMark/>
          </w:tcPr>
          <w:p w14:paraId="79AB1442"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333.878,46</w:t>
            </w:r>
          </w:p>
        </w:tc>
        <w:tc>
          <w:tcPr>
            <w:tcW w:w="1916" w:type="dxa"/>
            <w:tcBorders>
              <w:top w:val="nil"/>
              <w:left w:val="nil"/>
              <w:bottom w:val="single" w:sz="4" w:space="0" w:color="auto"/>
              <w:right w:val="single" w:sz="4" w:space="0" w:color="auto"/>
            </w:tcBorders>
            <w:shd w:val="clear" w:color="auto" w:fill="auto"/>
            <w:noWrap/>
            <w:vAlign w:val="bottom"/>
            <w:hideMark/>
          </w:tcPr>
          <w:p w14:paraId="33350E8E" w14:textId="77777777" w:rsidR="00CB54ED" w:rsidRPr="000E700A" w:rsidRDefault="00CB54ED" w:rsidP="00410ECF">
            <w:pPr>
              <w:ind w:firstLineChars="400" w:firstLine="960"/>
              <w:rPr>
                <w:sz w:val="24"/>
                <w:szCs w:val="24"/>
                <w:lang w:val="hr-HR" w:eastAsia="hr-HR"/>
                <w14:ligatures w14:val="standardContextual"/>
              </w:rPr>
            </w:pPr>
            <w:r w:rsidRPr="000E700A">
              <w:rPr>
                <w:sz w:val="24"/>
                <w:szCs w:val="24"/>
                <w:lang w:val="hr-HR" w:eastAsia="hr-HR"/>
                <w14:ligatures w14:val="standardContextual"/>
              </w:rPr>
              <w:t>5,76%</w:t>
            </w:r>
          </w:p>
        </w:tc>
      </w:tr>
    </w:tbl>
    <w:p w14:paraId="0ACBE7CF" w14:textId="77777777" w:rsidR="00510B63" w:rsidRPr="000E700A" w:rsidRDefault="00510B63" w:rsidP="00CC2DDC">
      <w:pPr>
        <w:spacing w:line="360" w:lineRule="auto"/>
        <w:jc w:val="both"/>
        <w:rPr>
          <w:bCs/>
          <w:sz w:val="24"/>
          <w:szCs w:val="24"/>
          <w:lang w:val="hr-HR"/>
        </w:rPr>
      </w:pPr>
    </w:p>
    <w:p w14:paraId="508C461B" w14:textId="306A6D20" w:rsidR="00844835" w:rsidRPr="000E700A" w:rsidRDefault="00410ECF" w:rsidP="007E6F4E">
      <w:pPr>
        <w:spacing w:line="360" w:lineRule="auto"/>
        <w:jc w:val="both"/>
        <w:rPr>
          <w:bCs/>
          <w:sz w:val="24"/>
          <w:szCs w:val="24"/>
          <w:lang w:val="hr-HR"/>
        </w:rPr>
      </w:pPr>
      <w:r w:rsidRPr="000E700A">
        <w:rPr>
          <w:bCs/>
          <w:sz w:val="24"/>
          <w:szCs w:val="24"/>
          <w:lang w:val="hr-HR"/>
        </w:rPr>
        <w:t>Prijenos neutrošenih sredstava na izvoru 43 u nominalnom iznosu 1.800.663,14 EUR odnosi se</w:t>
      </w:r>
      <w:r w:rsidR="00844835" w:rsidRPr="000E700A">
        <w:rPr>
          <w:bCs/>
          <w:sz w:val="24"/>
          <w:szCs w:val="24"/>
          <w:lang w:val="hr-HR"/>
        </w:rPr>
        <w:t xml:space="preserve"> na</w:t>
      </w:r>
      <w:r w:rsidRPr="000E700A">
        <w:rPr>
          <w:bCs/>
          <w:sz w:val="24"/>
          <w:szCs w:val="24"/>
          <w:lang w:val="hr-HR"/>
        </w:rPr>
        <w:t xml:space="preserve"> sredstva ostvarena kao prihod od registracije nacionalne domene Republike Hrvatske (.</w:t>
      </w:r>
      <w:proofErr w:type="spellStart"/>
      <w:r w:rsidRPr="000E700A">
        <w:rPr>
          <w:bCs/>
          <w:sz w:val="24"/>
          <w:szCs w:val="24"/>
          <w:lang w:val="hr-HR"/>
        </w:rPr>
        <w:t>hr</w:t>
      </w:r>
      <w:proofErr w:type="spellEnd"/>
      <w:r w:rsidRPr="000E700A">
        <w:rPr>
          <w:bCs/>
          <w:sz w:val="24"/>
          <w:szCs w:val="24"/>
          <w:lang w:val="hr-HR"/>
        </w:rPr>
        <w:t xml:space="preserve">) koje se registriraju u skladu s Pravilnikom o ustrojstvu i upravljanju vršnom nacionalnom internetskom domenom. </w:t>
      </w:r>
      <w:r w:rsidR="007E6F4E" w:rsidRPr="000E700A">
        <w:rPr>
          <w:bCs/>
          <w:sz w:val="24"/>
          <w:szCs w:val="24"/>
          <w:lang w:val="hr-HR"/>
        </w:rPr>
        <w:t xml:space="preserve"> </w:t>
      </w:r>
      <w:r w:rsidRPr="000E700A">
        <w:rPr>
          <w:bCs/>
          <w:sz w:val="24"/>
          <w:szCs w:val="24"/>
          <w:lang w:val="hr-HR"/>
        </w:rPr>
        <w:t xml:space="preserve">Sredstva su akumulirana tijekom godina s obzirom kako CARNET u redovnom radu nije ostvario toliku razinu rashoda da bi se ista utrošila. Kako opseg poslovanja CARNET-a raste tako se očekuje i povećana razina trošenja tih sredstava u narednom proračunskom razdoblju. </w:t>
      </w:r>
    </w:p>
    <w:p w14:paraId="72407782" w14:textId="26CCB972" w:rsidR="007E6F4E" w:rsidRPr="000E700A" w:rsidRDefault="007E6F4E" w:rsidP="007E6F4E">
      <w:pPr>
        <w:spacing w:line="360" w:lineRule="auto"/>
        <w:jc w:val="both"/>
        <w:rPr>
          <w:bCs/>
          <w:sz w:val="24"/>
          <w:szCs w:val="24"/>
          <w:lang w:val="hr-HR"/>
        </w:rPr>
      </w:pPr>
      <w:r w:rsidRPr="000E700A">
        <w:rPr>
          <w:bCs/>
          <w:sz w:val="24"/>
          <w:szCs w:val="24"/>
          <w:lang w:val="hr-HR"/>
        </w:rPr>
        <w:t xml:space="preserve">Prijenos sredstava na izvoru 51 odnosi se  na </w:t>
      </w:r>
      <w:proofErr w:type="spellStart"/>
      <w:r w:rsidRPr="000E700A">
        <w:rPr>
          <w:bCs/>
          <w:sz w:val="24"/>
          <w:szCs w:val="24"/>
          <w:lang w:val="hr-HR"/>
        </w:rPr>
        <w:t>predfinaciranje</w:t>
      </w:r>
      <w:proofErr w:type="spellEnd"/>
      <w:r w:rsidRPr="000E700A">
        <w:rPr>
          <w:bCs/>
          <w:sz w:val="24"/>
          <w:szCs w:val="24"/>
          <w:lang w:val="hr-HR"/>
        </w:rPr>
        <w:t xml:space="preserve"> projekta “Uspostava Nacionalnog koordinacijskog središta za industriju, tehnologiju i istraživanja u području kibernetičke sigurnosti“  </w:t>
      </w:r>
      <w:r w:rsidR="00584DB2" w:rsidRPr="000E700A">
        <w:rPr>
          <w:bCs/>
          <w:sz w:val="24"/>
          <w:szCs w:val="24"/>
          <w:lang w:val="hr-HR"/>
        </w:rPr>
        <w:t xml:space="preserve">u iznosu od 3.149.720,90 EUR, te projekta </w:t>
      </w:r>
      <w:r w:rsidR="00584DB2" w:rsidRPr="000E700A">
        <w:rPr>
          <w:sz w:val="24"/>
          <w:szCs w:val="24"/>
        </w:rPr>
        <w:t xml:space="preserve">Hrvatska </w:t>
      </w:r>
      <w:proofErr w:type="spellStart"/>
      <w:r w:rsidR="00584DB2" w:rsidRPr="000E700A">
        <w:rPr>
          <w:sz w:val="24"/>
          <w:szCs w:val="24"/>
        </w:rPr>
        <w:t>kvantna</w:t>
      </w:r>
      <w:proofErr w:type="spellEnd"/>
      <w:r w:rsidR="00584DB2" w:rsidRPr="000E700A">
        <w:rPr>
          <w:sz w:val="24"/>
          <w:szCs w:val="24"/>
        </w:rPr>
        <w:t xml:space="preserve"> </w:t>
      </w:r>
      <w:proofErr w:type="spellStart"/>
      <w:r w:rsidR="00584DB2" w:rsidRPr="000E700A">
        <w:rPr>
          <w:sz w:val="24"/>
          <w:szCs w:val="24"/>
        </w:rPr>
        <w:t>komunikacijska</w:t>
      </w:r>
      <w:proofErr w:type="spellEnd"/>
      <w:r w:rsidR="00584DB2" w:rsidRPr="000E700A">
        <w:rPr>
          <w:sz w:val="24"/>
          <w:szCs w:val="24"/>
        </w:rPr>
        <w:t xml:space="preserve"> </w:t>
      </w:r>
      <w:proofErr w:type="spellStart"/>
      <w:r w:rsidR="00584DB2" w:rsidRPr="000E700A">
        <w:rPr>
          <w:sz w:val="24"/>
          <w:szCs w:val="24"/>
        </w:rPr>
        <w:t>infrastruktura</w:t>
      </w:r>
      <w:proofErr w:type="spellEnd"/>
      <w:r w:rsidR="00584DB2" w:rsidRPr="000E700A">
        <w:rPr>
          <w:sz w:val="24"/>
          <w:szCs w:val="24"/>
        </w:rPr>
        <w:t xml:space="preserve"> – </w:t>
      </w:r>
      <w:proofErr w:type="spellStart"/>
      <w:r w:rsidR="00584DB2" w:rsidRPr="000E700A">
        <w:rPr>
          <w:sz w:val="24"/>
          <w:szCs w:val="24"/>
        </w:rPr>
        <w:t>CroQCI</w:t>
      </w:r>
      <w:proofErr w:type="spellEnd"/>
      <w:r w:rsidR="00584DB2" w:rsidRPr="000E700A">
        <w:rPr>
          <w:sz w:val="24"/>
          <w:szCs w:val="24"/>
        </w:rPr>
        <w:t xml:space="preserve"> u </w:t>
      </w:r>
      <w:proofErr w:type="spellStart"/>
      <w:r w:rsidR="00584DB2" w:rsidRPr="000E700A">
        <w:rPr>
          <w:sz w:val="24"/>
          <w:szCs w:val="24"/>
        </w:rPr>
        <w:t>iznosu</w:t>
      </w:r>
      <w:proofErr w:type="spellEnd"/>
      <w:r w:rsidR="00584DB2" w:rsidRPr="000E700A">
        <w:rPr>
          <w:sz w:val="24"/>
          <w:szCs w:val="24"/>
        </w:rPr>
        <w:t xml:space="preserve"> od 426.463,04 EUR</w:t>
      </w:r>
    </w:p>
    <w:p w14:paraId="64920F1B" w14:textId="4144F0C7" w:rsidR="007E6F4E" w:rsidRPr="000E700A" w:rsidRDefault="007E6F4E" w:rsidP="007E6F4E">
      <w:pPr>
        <w:spacing w:line="360" w:lineRule="auto"/>
        <w:jc w:val="both"/>
        <w:rPr>
          <w:bCs/>
          <w:sz w:val="24"/>
          <w:szCs w:val="24"/>
          <w:lang w:val="hr-HR"/>
        </w:rPr>
      </w:pPr>
      <w:r w:rsidRPr="000E700A">
        <w:rPr>
          <w:bCs/>
          <w:sz w:val="24"/>
          <w:szCs w:val="24"/>
          <w:lang w:val="hr-HR"/>
        </w:rPr>
        <w:lastRenderedPageBreak/>
        <w:t xml:space="preserve">Prijenos neutrošenih sredstava na izvoru 52 odnosi se na predujam za Erasmus+ projekt koji traje do lipnja 2026. godine, te na predujam za projekt R.O.O.T. – </w:t>
      </w:r>
      <w:proofErr w:type="spellStart"/>
      <w:r w:rsidRPr="000E700A">
        <w:rPr>
          <w:bCs/>
          <w:sz w:val="24"/>
          <w:szCs w:val="24"/>
          <w:lang w:val="hr-HR"/>
        </w:rPr>
        <w:t>Reach</w:t>
      </w:r>
      <w:proofErr w:type="spellEnd"/>
      <w:r w:rsidRPr="000E700A">
        <w:rPr>
          <w:bCs/>
          <w:sz w:val="24"/>
          <w:szCs w:val="24"/>
          <w:lang w:val="hr-HR"/>
        </w:rPr>
        <w:t xml:space="preserve"> Out, </w:t>
      </w:r>
      <w:proofErr w:type="spellStart"/>
      <w:r w:rsidRPr="000E700A">
        <w:rPr>
          <w:bCs/>
          <w:sz w:val="24"/>
          <w:szCs w:val="24"/>
          <w:lang w:val="hr-HR"/>
        </w:rPr>
        <w:t>Overcome</w:t>
      </w:r>
      <w:proofErr w:type="spellEnd"/>
      <w:r w:rsidRPr="000E700A">
        <w:rPr>
          <w:bCs/>
          <w:sz w:val="24"/>
          <w:szCs w:val="24"/>
          <w:lang w:val="hr-HR"/>
        </w:rPr>
        <w:t xml:space="preserve">, </w:t>
      </w:r>
      <w:proofErr w:type="spellStart"/>
      <w:r w:rsidRPr="000E700A">
        <w:rPr>
          <w:bCs/>
          <w:sz w:val="24"/>
          <w:szCs w:val="24"/>
          <w:lang w:val="hr-HR"/>
        </w:rPr>
        <w:t>and</w:t>
      </w:r>
      <w:proofErr w:type="spellEnd"/>
      <w:r w:rsidRPr="000E700A">
        <w:rPr>
          <w:bCs/>
          <w:sz w:val="24"/>
          <w:szCs w:val="24"/>
          <w:lang w:val="hr-HR"/>
        </w:rPr>
        <w:t xml:space="preserve"> </w:t>
      </w:r>
      <w:proofErr w:type="spellStart"/>
      <w:r w:rsidRPr="000E700A">
        <w:rPr>
          <w:bCs/>
          <w:sz w:val="24"/>
          <w:szCs w:val="24"/>
          <w:lang w:val="hr-HR"/>
        </w:rPr>
        <w:t>Transform</w:t>
      </w:r>
      <w:proofErr w:type="spellEnd"/>
      <w:r w:rsidRPr="000E700A">
        <w:rPr>
          <w:bCs/>
          <w:sz w:val="24"/>
          <w:szCs w:val="24"/>
          <w:lang w:val="hr-HR"/>
        </w:rPr>
        <w:t xml:space="preserve">  koji se provodi u 2025. godini.</w:t>
      </w:r>
    </w:p>
    <w:p w14:paraId="6F8BFB07" w14:textId="26BF52DE" w:rsidR="007E6F4E" w:rsidRPr="000E700A" w:rsidRDefault="007E6F4E" w:rsidP="007E6F4E">
      <w:pPr>
        <w:spacing w:line="360" w:lineRule="auto"/>
        <w:jc w:val="both"/>
        <w:rPr>
          <w:bCs/>
          <w:sz w:val="24"/>
          <w:szCs w:val="24"/>
          <w:lang w:val="hr-HR"/>
        </w:rPr>
      </w:pPr>
      <w:r w:rsidRPr="000E700A">
        <w:rPr>
          <w:bCs/>
          <w:sz w:val="24"/>
          <w:szCs w:val="24"/>
          <w:lang w:val="hr-HR"/>
        </w:rPr>
        <w:t xml:space="preserve">Prijenos neutrošenih sredstava na izvoru 63 odnosi se na sudjelovanje na projektu GÉANT 5-2 koji predstavlja organizaciju 37 europskih akademskih i istraživačkih mreža (National Research </w:t>
      </w:r>
      <w:proofErr w:type="spellStart"/>
      <w:r w:rsidRPr="000E700A">
        <w:rPr>
          <w:bCs/>
          <w:sz w:val="24"/>
          <w:szCs w:val="24"/>
          <w:lang w:val="hr-HR"/>
        </w:rPr>
        <w:t>and</w:t>
      </w:r>
      <w:proofErr w:type="spellEnd"/>
      <w:r w:rsidRPr="000E700A">
        <w:rPr>
          <w:bCs/>
          <w:sz w:val="24"/>
          <w:szCs w:val="24"/>
          <w:lang w:val="hr-HR"/>
        </w:rPr>
        <w:t xml:space="preserve"> </w:t>
      </w:r>
      <w:proofErr w:type="spellStart"/>
      <w:r w:rsidRPr="000E700A">
        <w:rPr>
          <w:bCs/>
          <w:sz w:val="24"/>
          <w:szCs w:val="24"/>
          <w:lang w:val="hr-HR"/>
        </w:rPr>
        <w:t>Education</w:t>
      </w:r>
      <w:proofErr w:type="spellEnd"/>
      <w:r w:rsidRPr="000E700A">
        <w:rPr>
          <w:bCs/>
          <w:sz w:val="24"/>
          <w:szCs w:val="24"/>
          <w:lang w:val="hr-HR"/>
        </w:rPr>
        <w:t xml:space="preserve"> Network, NREN) te </w:t>
      </w:r>
      <w:proofErr w:type="spellStart"/>
      <w:r w:rsidRPr="000E700A">
        <w:rPr>
          <w:bCs/>
          <w:sz w:val="24"/>
          <w:szCs w:val="24"/>
          <w:lang w:val="hr-HR"/>
        </w:rPr>
        <w:t>NORDUNet</w:t>
      </w:r>
      <w:proofErr w:type="spellEnd"/>
      <w:r w:rsidRPr="000E700A">
        <w:rPr>
          <w:bCs/>
          <w:sz w:val="24"/>
          <w:szCs w:val="24"/>
          <w:lang w:val="hr-HR"/>
        </w:rPr>
        <w:t xml:space="preserve"> (predstavnik 5 nordijskih NREN-ova). Neutrošena sredstva se prenose iz godine u godinu sukladno stvarno nastalim troškovima vezanim za provedbu projekta. Sredstva će se potrošiti u skladu sa stavkama unutar predanog financijskog plana za razdoblje 2025. -2027.</w:t>
      </w:r>
    </w:p>
    <w:p w14:paraId="74C712DB" w14:textId="142B4CA1" w:rsidR="00DF18DA" w:rsidRPr="000E700A" w:rsidRDefault="00844835" w:rsidP="00CC2DDC">
      <w:pPr>
        <w:spacing w:line="360" w:lineRule="auto"/>
        <w:jc w:val="both"/>
        <w:rPr>
          <w:bCs/>
          <w:sz w:val="24"/>
          <w:szCs w:val="24"/>
          <w:lang w:val="hr-HR"/>
        </w:rPr>
      </w:pPr>
      <w:r w:rsidRPr="000E700A">
        <w:rPr>
          <w:bCs/>
          <w:sz w:val="24"/>
          <w:szCs w:val="24"/>
          <w:lang w:val="hr-HR"/>
        </w:rPr>
        <w:br w:type="page"/>
      </w:r>
    </w:p>
    <w:p w14:paraId="4ABD481E" w14:textId="4B88A5C6" w:rsidR="002C5754" w:rsidRPr="000E700A" w:rsidRDefault="005F29DC" w:rsidP="00CC2DDC">
      <w:pPr>
        <w:spacing w:line="360" w:lineRule="auto"/>
        <w:jc w:val="both"/>
        <w:rPr>
          <w:bCs/>
          <w:sz w:val="24"/>
          <w:szCs w:val="24"/>
          <w:lang w:val="hr-HR"/>
        </w:rPr>
      </w:pPr>
      <w:r w:rsidRPr="000E700A">
        <w:rPr>
          <w:bCs/>
          <w:sz w:val="24"/>
          <w:szCs w:val="24"/>
          <w:lang w:val="hr-HR"/>
        </w:rPr>
        <w:lastRenderedPageBreak/>
        <w:t>Stanje novčanih sredstava na računima na početku i kraju proračunske godine prikazano je u tablici:</w:t>
      </w:r>
    </w:p>
    <w:p w14:paraId="4AA6F62C" w14:textId="77777777" w:rsidR="005F29DC" w:rsidRPr="000E700A" w:rsidRDefault="005F29DC" w:rsidP="00CC2DDC">
      <w:pPr>
        <w:spacing w:line="360" w:lineRule="auto"/>
        <w:jc w:val="both"/>
        <w:rPr>
          <w:b/>
          <w:sz w:val="24"/>
          <w:szCs w:val="24"/>
          <w:lang w:val="hr-HR"/>
        </w:rPr>
      </w:pPr>
    </w:p>
    <w:tbl>
      <w:tblPr>
        <w:tblW w:w="9493" w:type="dxa"/>
        <w:tblLook w:val="04A0" w:firstRow="1" w:lastRow="0" w:firstColumn="1" w:lastColumn="0" w:noHBand="0" w:noVBand="1"/>
      </w:tblPr>
      <w:tblGrid>
        <w:gridCol w:w="2910"/>
        <w:gridCol w:w="1338"/>
        <w:gridCol w:w="2693"/>
        <w:gridCol w:w="2552"/>
      </w:tblGrid>
      <w:tr w:rsidR="005F29DC" w:rsidRPr="000E700A" w14:paraId="546CE4FB" w14:textId="77777777" w:rsidTr="00E259D0">
        <w:trPr>
          <w:trHeight w:val="443"/>
        </w:trPr>
        <w:tc>
          <w:tcPr>
            <w:tcW w:w="2910" w:type="dxa"/>
            <w:tcBorders>
              <w:top w:val="single" w:sz="4" w:space="0" w:color="auto"/>
              <w:left w:val="single" w:sz="4" w:space="0" w:color="auto"/>
              <w:bottom w:val="single" w:sz="4" w:space="0" w:color="auto"/>
              <w:right w:val="nil"/>
            </w:tcBorders>
            <w:shd w:val="clear" w:color="000000" w:fill="D0CECE"/>
            <w:noWrap/>
            <w:vAlign w:val="center"/>
            <w:hideMark/>
          </w:tcPr>
          <w:p w14:paraId="7EB77274" w14:textId="77777777" w:rsidR="005F29DC" w:rsidRPr="000E700A" w:rsidRDefault="005F29DC" w:rsidP="00E259D0">
            <w:pPr>
              <w:spacing w:line="360" w:lineRule="auto"/>
              <w:jc w:val="center"/>
              <w:rPr>
                <w:b/>
                <w:bCs/>
                <w:color w:val="000000"/>
                <w:sz w:val="24"/>
                <w:szCs w:val="24"/>
              </w:rPr>
            </w:pPr>
            <w:r w:rsidRPr="000E700A">
              <w:rPr>
                <w:b/>
                <w:bCs/>
                <w:color w:val="000000"/>
                <w:sz w:val="24"/>
                <w:szCs w:val="24"/>
              </w:rPr>
              <w:t>IBAN</w:t>
            </w:r>
          </w:p>
        </w:tc>
        <w:tc>
          <w:tcPr>
            <w:tcW w:w="133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5EAECCF1" w14:textId="77777777" w:rsidR="005F29DC" w:rsidRPr="000E700A" w:rsidRDefault="005F29DC" w:rsidP="00E259D0">
            <w:pPr>
              <w:spacing w:line="360" w:lineRule="auto"/>
              <w:jc w:val="center"/>
              <w:rPr>
                <w:b/>
                <w:bCs/>
                <w:color w:val="000000"/>
                <w:sz w:val="24"/>
                <w:szCs w:val="24"/>
              </w:rPr>
            </w:pPr>
            <w:r w:rsidRPr="000E700A">
              <w:rPr>
                <w:b/>
                <w:bCs/>
                <w:color w:val="000000"/>
                <w:sz w:val="24"/>
                <w:szCs w:val="24"/>
              </w:rPr>
              <w:t>VALUTA</w:t>
            </w:r>
          </w:p>
        </w:tc>
        <w:tc>
          <w:tcPr>
            <w:tcW w:w="2693" w:type="dxa"/>
            <w:tcBorders>
              <w:top w:val="single" w:sz="4" w:space="0" w:color="auto"/>
              <w:left w:val="nil"/>
              <w:bottom w:val="single" w:sz="4" w:space="0" w:color="auto"/>
              <w:right w:val="single" w:sz="4" w:space="0" w:color="auto"/>
            </w:tcBorders>
            <w:shd w:val="clear" w:color="000000" w:fill="D0CECE"/>
            <w:noWrap/>
            <w:vAlign w:val="center"/>
            <w:hideMark/>
          </w:tcPr>
          <w:p w14:paraId="72F91CAE" w14:textId="7439173E" w:rsidR="005F29DC" w:rsidRPr="000E700A" w:rsidRDefault="005F29DC" w:rsidP="00E259D0">
            <w:pPr>
              <w:spacing w:line="360" w:lineRule="auto"/>
              <w:jc w:val="center"/>
              <w:rPr>
                <w:b/>
                <w:bCs/>
                <w:color w:val="000000"/>
                <w:sz w:val="24"/>
                <w:szCs w:val="24"/>
              </w:rPr>
            </w:pPr>
            <w:r w:rsidRPr="000E700A">
              <w:rPr>
                <w:b/>
                <w:bCs/>
                <w:color w:val="000000"/>
                <w:sz w:val="24"/>
                <w:szCs w:val="24"/>
              </w:rPr>
              <w:t>STANJE NA DAN 01.01.202</w:t>
            </w:r>
            <w:r w:rsidR="000632D8" w:rsidRPr="000E700A">
              <w:rPr>
                <w:b/>
                <w:bCs/>
                <w:color w:val="000000"/>
                <w:sz w:val="24"/>
                <w:szCs w:val="24"/>
              </w:rPr>
              <w:t>4</w:t>
            </w:r>
            <w:r w:rsidRPr="000E700A">
              <w:rPr>
                <w:b/>
                <w:bCs/>
                <w:color w:val="000000"/>
                <w:sz w:val="24"/>
                <w:szCs w:val="24"/>
              </w:rPr>
              <w:t>.</w:t>
            </w:r>
          </w:p>
        </w:tc>
        <w:tc>
          <w:tcPr>
            <w:tcW w:w="2552" w:type="dxa"/>
            <w:tcBorders>
              <w:top w:val="single" w:sz="4" w:space="0" w:color="auto"/>
              <w:left w:val="nil"/>
              <w:bottom w:val="single" w:sz="4" w:space="0" w:color="auto"/>
              <w:right w:val="single" w:sz="4" w:space="0" w:color="auto"/>
            </w:tcBorders>
            <w:shd w:val="clear" w:color="000000" w:fill="D0CECE"/>
            <w:noWrap/>
            <w:vAlign w:val="center"/>
            <w:hideMark/>
          </w:tcPr>
          <w:p w14:paraId="59CE24F6" w14:textId="4D70EBE8" w:rsidR="005F29DC" w:rsidRPr="000E700A" w:rsidRDefault="005F29DC" w:rsidP="00E259D0">
            <w:pPr>
              <w:spacing w:line="360" w:lineRule="auto"/>
              <w:jc w:val="center"/>
              <w:rPr>
                <w:b/>
                <w:bCs/>
                <w:color w:val="000000"/>
                <w:sz w:val="24"/>
                <w:szCs w:val="24"/>
              </w:rPr>
            </w:pPr>
            <w:r w:rsidRPr="000E700A">
              <w:rPr>
                <w:b/>
                <w:bCs/>
                <w:color w:val="000000"/>
                <w:sz w:val="24"/>
                <w:szCs w:val="24"/>
              </w:rPr>
              <w:t>STANJE NA DAN 31.12.202</w:t>
            </w:r>
            <w:r w:rsidR="000632D8" w:rsidRPr="000E700A">
              <w:rPr>
                <w:b/>
                <w:bCs/>
                <w:color w:val="000000"/>
                <w:sz w:val="24"/>
                <w:szCs w:val="24"/>
              </w:rPr>
              <w:t>4</w:t>
            </w:r>
            <w:r w:rsidRPr="000E700A">
              <w:rPr>
                <w:b/>
                <w:bCs/>
                <w:color w:val="000000"/>
                <w:sz w:val="24"/>
                <w:szCs w:val="24"/>
              </w:rPr>
              <w:t>.</w:t>
            </w:r>
          </w:p>
        </w:tc>
      </w:tr>
      <w:tr w:rsidR="008E2FBA" w:rsidRPr="000E700A" w14:paraId="360552C7" w14:textId="77777777" w:rsidTr="00E259D0">
        <w:trPr>
          <w:trHeight w:val="71"/>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556F" w14:textId="77777777" w:rsidR="005F29DC" w:rsidRPr="000E700A" w:rsidRDefault="005F29DC" w:rsidP="00E259D0">
            <w:pPr>
              <w:spacing w:line="360" w:lineRule="auto"/>
              <w:jc w:val="center"/>
              <w:rPr>
                <w:color w:val="000000"/>
                <w:sz w:val="24"/>
                <w:szCs w:val="24"/>
              </w:rPr>
            </w:pPr>
            <w:r w:rsidRPr="000E700A">
              <w:rPr>
                <w:sz w:val="24"/>
                <w:szCs w:val="24"/>
              </w:rPr>
              <w:t>HR2323600001101491216</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84E0" w14:textId="77777777" w:rsidR="005F29DC" w:rsidRPr="000E700A" w:rsidRDefault="005F29DC" w:rsidP="00E259D0">
            <w:pPr>
              <w:spacing w:line="360" w:lineRule="auto"/>
              <w:jc w:val="center"/>
              <w:rPr>
                <w:color w:val="000000"/>
                <w:sz w:val="24"/>
                <w:szCs w:val="24"/>
              </w:rPr>
            </w:pPr>
            <w:r w:rsidRPr="000E700A">
              <w:rPr>
                <w:color w:val="000000"/>
                <w:sz w:val="24"/>
                <w:szCs w:val="24"/>
              </w:rPr>
              <w:t>EUR</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496176" w14:textId="7922D1C7" w:rsidR="005F29DC" w:rsidRPr="000E700A" w:rsidRDefault="005F29DC" w:rsidP="00E259D0">
            <w:pPr>
              <w:spacing w:line="360" w:lineRule="auto"/>
              <w:jc w:val="center"/>
              <w:rPr>
                <w:sz w:val="24"/>
                <w:szCs w:val="24"/>
              </w:rPr>
            </w:pPr>
            <w:r w:rsidRPr="000E700A">
              <w:rPr>
                <w:sz w:val="24"/>
                <w:szCs w:val="24"/>
              </w:rPr>
              <w:t>1.031,0</w:t>
            </w:r>
            <w:r w:rsidR="000632D8" w:rsidRPr="000E700A">
              <w:rPr>
                <w:sz w:val="24"/>
                <w:szCs w:val="24"/>
              </w:rPr>
              <w:t>8</w:t>
            </w:r>
            <w:r w:rsidRPr="000E700A">
              <w:rPr>
                <w:sz w:val="24"/>
                <w:szCs w:val="24"/>
              </w:rPr>
              <w:t xml:space="preserve"> €</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2CCEC6" w14:textId="10F9854A" w:rsidR="005F29DC" w:rsidRPr="000E700A" w:rsidRDefault="005F29DC" w:rsidP="00E259D0">
            <w:pPr>
              <w:spacing w:line="360" w:lineRule="auto"/>
              <w:jc w:val="center"/>
              <w:rPr>
                <w:sz w:val="24"/>
                <w:szCs w:val="24"/>
              </w:rPr>
            </w:pPr>
            <w:r w:rsidRPr="000E700A">
              <w:rPr>
                <w:sz w:val="24"/>
                <w:szCs w:val="24"/>
              </w:rPr>
              <w:t>1.03</w:t>
            </w:r>
            <w:r w:rsidR="000632D8" w:rsidRPr="000E700A">
              <w:rPr>
                <w:sz w:val="24"/>
                <w:szCs w:val="24"/>
              </w:rPr>
              <w:t>0</w:t>
            </w:r>
            <w:r w:rsidRPr="000E700A">
              <w:rPr>
                <w:sz w:val="24"/>
                <w:szCs w:val="24"/>
              </w:rPr>
              <w:t>,</w:t>
            </w:r>
            <w:r w:rsidR="000632D8" w:rsidRPr="000E700A">
              <w:rPr>
                <w:sz w:val="24"/>
                <w:szCs w:val="24"/>
              </w:rPr>
              <w:t>60</w:t>
            </w:r>
            <w:r w:rsidRPr="000E700A">
              <w:rPr>
                <w:sz w:val="24"/>
                <w:szCs w:val="24"/>
              </w:rPr>
              <w:t xml:space="preserve"> €</w:t>
            </w:r>
          </w:p>
        </w:tc>
      </w:tr>
      <w:tr w:rsidR="008E2FBA" w:rsidRPr="000E700A" w14:paraId="44AD399C" w14:textId="77777777" w:rsidTr="00E259D0">
        <w:trPr>
          <w:trHeight w:val="300"/>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75C3" w14:textId="77777777" w:rsidR="005F29DC" w:rsidRPr="000E700A" w:rsidRDefault="005F29DC" w:rsidP="00E259D0">
            <w:pPr>
              <w:spacing w:line="360" w:lineRule="auto"/>
              <w:jc w:val="center"/>
              <w:rPr>
                <w:sz w:val="24"/>
                <w:szCs w:val="24"/>
              </w:rPr>
            </w:pPr>
            <w:r w:rsidRPr="000E700A">
              <w:rPr>
                <w:sz w:val="24"/>
                <w:szCs w:val="24"/>
              </w:rPr>
              <w:t>HR5123600001500317173</w:t>
            </w:r>
          </w:p>
        </w:tc>
        <w:tc>
          <w:tcPr>
            <w:tcW w:w="1338" w:type="dxa"/>
            <w:tcBorders>
              <w:top w:val="single" w:sz="4" w:space="0" w:color="auto"/>
              <w:left w:val="nil"/>
              <w:bottom w:val="single" w:sz="4" w:space="0" w:color="auto"/>
              <w:right w:val="single" w:sz="4" w:space="0" w:color="auto"/>
            </w:tcBorders>
            <w:shd w:val="clear" w:color="auto" w:fill="auto"/>
            <w:noWrap/>
            <w:vAlign w:val="center"/>
            <w:hideMark/>
          </w:tcPr>
          <w:p w14:paraId="54C368AB" w14:textId="77777777" w:rsidR="005F29DC" w:rsidRPr="000E700A" w:rsidRDefault="005F29DC" w:rsidP="00E259D0">
            <w:pPr>
              <w:spacing w:line="360" w:lineRule="auto"/>
              <w:jc w:val="center"/>
              <w:rPr>
                <w:sz w:val="24"/>
                <w:szCs w:val="24"/>
              </w:rPr>
            </w:pPr>
            <w:r w:rsidRPr="000E700A">
              <w:rPr>
                <w:sz w:val="24"/>
                <w:szCs w:val="24"/>
              </w:rPr>
              <w:t>EUR</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14:paraId="6793561D" w14:textId="4459219D" w:rsidR="005F29DC" w:rsidRPr="000E700A" w:rsidRDefault="000632D8" w:rsidP="00E259D0">
            <w:pPr>
              <w:spacing w:line="360" w:lineRule="auto"/>
              <w:jc w:val="center"/>
              <w:rPr>
                <w:sz w:val="24"/>
                <w:szCs w:val="24"/>
              </w:rPr>
            </w:pPr>
            <w:r w:rsidRPr="000E700A">
              <w:rPr>
                <w:sz w:val="24"/>
                <w:szCs w:val="24"/>
              </w:rPr>
              <w:t>276.576,05</w:t>
            </w:r>
            <w:r w:rsidR="005F29DC" w:rsidRPr="000E700A">
              <w:rPr>
                <w:sz w:val="24"/>
                <w:szCs w:val="24"/>
              </w:rPr>
              <w:t xml:space="preserve"> €</w:t>
            </w:r>
          </w:p>
        </w:tc>
        <w:tc>
          <w:tcPr>
            <w:tcW w:w="2552" w:type="dxa"/>
            <w:tcBorders>
              <w:top w:val="single" w:sz="4" w:space="0" w:color="auto"/>
              <w:left w:val="nil"/>
              <w:bottom w:val="single" w:sz="4" w:space="0" w:color="auto"/>
              <w:right w:val="single" w:sz="4" w:space="0" w:color="auto"/>
            </w:tcBorders>
            <w:shd w:val="clear" w:color="000000" w:fill="FFFFFF"/>
            <w:noWrap/>
            <w:vAlign w:val="center"/>
            <w:hideMark/>
          </w:tcPr>
          <w:p w14:paraId="1A5B8941" w14:textId="7616B3DC" w:rsidR="005F29DC" w:rsidRPr="000E700A" w:rsidRDefault="005F29DC" w:rsidP="00E259D0">
            <w:pPr>
              <w:spacing w:line="360" w:lineRule="auto"/>
              <w:jc w:val="center"/>
              <w:rPr>
                <w:sz w:val="24"/>
                <w:szCs w:val="24"/>
              </w:rPr>
            </w:pPr>
            <w:r w:rsidRPr="000E700A">
              <w:rPr>
                <w:sz w:val="24"/>
                <w:szCs w:val="24"/>
              </w:rPr>
              <w:t>2</w:t>
            </w:r>
            <w:r w:rsidR="000632D8" w:rsidRPr="000E700A">
              <w:rPr>
                <w:sz w:val="24"/>
                <w:szCs w:val="24"/>
              </w:rPr>
              <w:t>25</w:t>
            </w:r>
            <w:r w:rsidRPr="000E700A">
              <w:rPr>
                <w:sz w:val="24"/>
                <w:szCs w:val="24"/>
              </w:rPr>
              <w:t>.</w:t>
            </w:r>
            <w:r w:rsidR="000632D8" w:rsidRPr="000E700A">
              <w:rPr>
                <w:sz w:val="24"/>
                <w:szCs w:val="24"/>
              </w:rPr>
              <w:t>173</w:t>
            </w:r>
            <w:r w:rsidRPr="000E700A">
              <w:rPr>
                <w:sz w:val="24"/>
                <w:szCs w:val="24"/>
              </w:rPr>
              <w:t>,</w:t>
            </w:r>
            <w:r w:rsidR="000632D8" w:rsidRPr="000E700A">
              <w:rPr>
                <w:sz w:val="24"/>
                <w:szCs w:val="24"/>
              </w:rPr>
              <w:t>85</w:t>
            </w:r>
            <w:r w:rsidRPr="000E700A">
              <w:rPr>
                <w:sz w:val="24"/>
                <w:szCs w:val="24"/>
              </w:rPr>
              <w:t xml:space="preserve"> €</w:t>
            </w:r>
          </w:p>
        </w:tc>
      </w:tr>
      <w:tr w:rsidR="008E2FBA" w:rsidRPr="000E700A" w14:paraId="0AD834E7" w14:textId="77777777" w:rsidTr="00E259D0">
        <w:trPr>
          <w:trHeight w:val="300"/>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7FBF3" w14:textId="77777777" w:rsidR="005F29DC" w:rsidRPr="000E700A" w:rsidRDefault="005F29DC" w:rsidP="00E259D0">
            <w:pPr>
              <w:spacing w:line="360" w:lineRule="auto"/>
              <w:jc w:val="center"/>
              <w:rPr>
                <w:sz w:val="24"/>
                <w:szCs w:val="24"/>
              </w:rPr>
            </w:pPr>
            <w:r w:rsidRPr="000E700A">
              <w:rPr>
                <w:sz w:val="24"/>
                <w:szCs w:val="24"/>
              </w:rPr>
              <w:t>HR9823600001501213480</w:t>
            </w:r>
          </w:p>
        </w:tc>
        <w:tc>
          <w:tcPr>
            <w:tcW w:w="1338" w:type="dxa"/>
            <w:tcBorders>
              <w:top w:val="single" w:sz="4" w:space="0" w:color="auto"/>
              <w:left w:val="nil"/>
              <w:bottom w:val="single" w:sz="4" w:space="0" w:color="auto"/>
              <w:right w:val="single" w:sz="4" w:space="0" w:color="auto"/>
            </w:tcBorders>
            <w:shd w:val="clear" w:color="auto" w:fill="auto"/>
            <w:noWrap/>
            <w:vAlign w:val="center"/>
            <w:hideMark/>
          </w:tcPr>
          <w:p w14:paraId="2FD970CB" w14:textId="77777777" w:rsidR="005F29DC" w:rsidRPr="000E700A" w:rsidRDefault="005F29DC" w:rsidP="00E259D0">
            <w:pPr>
              <w:spacing w:line="360" w:lineRule="auto"/>
              <w:jc w:val="center"/>
              <w:rPr>
                <w:sz w:val="24"/>
                <w:szCs w:val="24"/>
              </w:rPr>
            </w:pPr>
            <w:r w:rsidRPr="000E700A">
              <w:rPr>
                <w:sz w:val="24"/>
                <w:szCs w:val="24"/>
              </w:rPr>
              <w:t>EUR</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14:paraId="43C8FB94" w14:textId="53FBA6E4" w:rsidR="005F29DC" w:rsidRPr="000E700A" w:rsidRDefault="000632D8" w:rsidP="00E259D0">
            <w:pPr>
              <w:spacing w:line="360" w:lineRule="auto"/>
              <w:jc w:val="center"/>
              <w:rPr>
                <w:sz w:val="24"/>
                <w:szCs w:val="24"/>
              </w:rPr>
            </w:pPr>
            <w:r w:rsidRPr="000E700A">
              <w:rPr>
                <w:sz w:val="24"/>
                <w:szCs w:val="24"/>
              </w:rPr>
              <w:t>130.828,01</w:t>
            </w:r>
            <w:r w:rsidR="005F29DC" w:rsidRPr="000E700A">
              <w:rPr>
                <w:sz w:val="24"/>
                <w:szCs w:val="24"/>
              </w:rPr>
              <w:t xml:space="preserve"> €</w:t>
            </w:r>
          </w:p>
        </w:tc>
        <w:tc>
          <w:tcPr>
            <w:tcW w:w="2552" w:type="dxa"/>
            <w:tcBorders>
              <w:top w:val="single" w:sz="4" w:space="0" w:color="auto"/>
              <w:left w:val="nil"/>
              <w:bottom w:val="single" w:sz="4" w:space="0" w:color="auto"/>
              <w:right w:val="single" w:sz="4" w:space="0" w:color="auto"/>
            </w:tcBorders>
            <w:shd w:val="clear" w:color="000000" w:fill="FFFFFF"/>
            <w:noWrap/>
            <w:vAlign w:val="center"/>
            <w:hideMark/>
          </w:tcPr>
          <w:p w14:paraId="106842D2" w14:textId="0CA53CE3" w:rsidR="005F29DC" w:rsidRPr="000E700A" w:rsidRDefault="005F29DC" w:rsidP="00E259D0">
            <w:pPr>
              <w:spacing w:line="360" w:lineRule="auto"/>
              <w:jc w:val="center"/>
              <w:rPr>
                <w:sz w:val="24"/>
                <w:szCs w:val="24"/>
              </w:rPr>
            </w:pPr>
            <w:r w:rsidRPr="000E700A">
              <w:rPr>
                <w:sz w:val="24"/>
                <w:szCs w:val="24"/>
              </w:rPr>
              <w:t>130.82</w:t>
            </w:r>
            <w:r w:rsidR="000632D8" w:rsidRPr="000E700A">
              <w:rPr>
                <w:sz w:val="24"/>
                <w:szCs w:val="24"/>
              </w:rPr>
              <w:t>9</w:t>
            </w:r>
            <w:r w:rsidRPr="000E700A">
              <w:rPr>
                <w:sz w:val="24"/>
                <w:szCs w:val="24"/>
              </w:rPr>
              <w:t>,</w:t>
            </w:r>
            <w:r w:rsidR="000632D8" w:rsidRPr="000E700A">
              <w:rPr>
                <w:sz w:val="24"/>
                <w:szCs w:val="24"/>
              </w:rPr>
              <w:t>36</w:t>
            </w:r>
            <w:r w:rsidRPr="000E700A">
              <w:rPr>
                <w:sz w:val="24"/>
                <w:szCs w:val="24"/>
              </w:rPr>
              <w:t xml:space="preserve"> €</w:t>
            </w:r>
          </w:p>
        </w:tc>
      </w:tr>
    </w:tbl>
    <w:p w14:paraId="3BFE18FA" w14:textId="77777777" w:rsidR="005F29DC" w:rsidRPr="000E700A" w:rsidRDefault="005F29DC" w:rsidP="005F29DC">
      <w:pPr>
        <w:jc w:val="center"/>
        <w:rPr>
          <w:b/>
          <w:sz w:val="24"/>
          <w:szCs w:val="24"/>
          <w:lang w:val="hr-HR"/>
        </w:rPr>
      </w:pPr>
    </w:p>
    <w:p w14:paraId="5502A92D" w14:textId="77777777" w:rsidR="00A8513B" w:rsidRPr="000E700A" w:rsidRDefault="00A8513B" w:rsidP="005F29DC">
      <w:pPr>
        <w:jc w:val="center"/>
        <w:rPr>
          <w:b/>
          <w:sz w:val="24"/>
          <w:szCs w:val="24"/>
          <w:lang w:val="hr-HR"/>
        </w:rPr>
      </w:pPr>
    </w:p>
    <w:sectPr w:rsidR="00A8513B" w:rsidRPr="000E70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483CE" w14:textId="77777777" w:rsidR="008E0B2D" w:rsidRDefault="008E0B2D" w:rsidP="002C5754">
      <w:r>
        <w:separator/>
      </w:r>
    </w:p>
  </w:endnote>
  <w:endnote w:type="continuationSeparator" w:id="0">
    <w:p w14:paraId="21C21E87" w14:textId="77777777" w:rsidR="008E0B2D" w:rsidRDefault="008E0B2D" w:rsidP="002C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2995B" w14:textId="77777777" w:rsidR="008E0B2D" w:rsidRDefault="008E0B2D" w:rsidP="002C5754">
      <w:r>
        <w:separator/>
      </w:r>
    </w:p>
  </w:footnote>
  <w:footnote w:type="continuationSeparator" w:id="0">
    <w:p w14:paraId="377D785A" w14:textId="77777777" w:rsidR="008E0B2D" w:rsidRDefault="008E0B2D" w:rsidP="002C57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D44B9"/>
    <w:multiLevelType w:val="hybridMultilevel"/>
    <w:tmpl w:val="FFFFFFFF"/>
    <w:lvl w:ilvl="0" w:tplc="966672BE">
      <w:start w:val="58"/>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77327D"/>
    <w:multiLevelType w:val="multilevel"/>
    <w:tmpl w:val="44EC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6F7516"/>
    <w:multiLevelType w:val="multilevel"/>
    <w:tmpl w:val="427CF54E"/>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C2616E6"/>
    <w:multiLevelType w:val="multilevel"/>
    <w:tmpl w:val="72C8CA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632664FC"/>
    <w:multiLevelType w:val="hybridMultilevel"/>
    <w:tmpl w:val="199AB0F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69835106">
    <w:abstractNumId w:val="3"/>
  </w:num>
  <w:num w:numId="2" w16cid:durableId="274794159">
    <w:abstractNumId w:val="4"/>
  </w:num>
  <w:num w:numId="3" w16cid:durableId="537283283">
    <w:abstractNumId w:val="2"/>
  </w:num>
  <w:num w:numId="4" w16cid:durableId="131295065">
    <w:abstractNumId w:val="1"/>
  </w:num>
  <w:num w:numId="5" w16cid:durableId="1763792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156"/>
    <w:rsid w:val="00003563"/>
    <w:rsid w:val="00050112"/>
    <w:rsid w:val="00053CBA"/>
    <w:rsid w:val="000632D8"/>
    <w:rsid w:val="000700AE"/>
    <w:rsid w:val="00080411"/>
    <w:rsid w:val="00080D8A"/>
    <w:rsid w:val="000A1C65"/>
    <w:rsid w:val="000A5107"/>
    <w:rsid w:val="000A5A66"/>
    <w:rsid w:val="000B6132"/>
    <w:rsid w:val="000D08CE"/>
    <w:rsid w:val="000D12FA"/>
    <w:rsid w:val="000E700A"/>
    <w:rsid w:val="000F4CE8"/>
    <w:rsid w:val="0010197D"/>
    <w:rsid w:val="001261C8"/>
    <w:rsid w:val="00136934"/>
    <w:rsid w:val="001555D0"/>
    <w:rsid w:val="001579BD"/>
    <w:rsid w:val="001B423C"/>
    <w:rsid w:val="001F5CAC"/>
    <w:rsid w:val="00203FBD"/>
    <w:rsid w:val="00205F46"/>
    <w:rsid w:val="002157A0"/>
    <w:rsid w:val="002202BA"/>
    <w:rsid w:val="00225FB9"/>
    <w:rsid w:val="00237BFC"/>
    <w:rsid w:val="00244420"/>
    <w:rsid w:val="002925F5"/>
    <w:rsid w:val="002973FD"/>
    <w:rsid w:val="002B3D7C"/>
    <w:rsid w:val="002C5754"/>
    <w:rsid w:val="002D1A13"/>
    <w:rsid w:val="00324432"/>
    <w:rsid w:val="00346499"/>
    <w:rsid w:val="003509E5"/>
    <w:rsid w:val="003658C5"/>
    <w:rsid w:val="0036760D"/>
    <w:rsid w:val="00367B3D"/>
    <w:rsid w:val="003A1E91"/>
    <w:rsid w:val="003A2AE3"/>
    <w:rsid w:val="003E4B05"/>
    <w:rsid w:val="003F4956"/>
    <w:rsid w:val="003F5CC5"/>
    <w:rsid w:val="00410ECF"/>
    <w:rsid w:val="00417756"/>
    <w:rsid w:val="00420E85"/>
    <w:rsid w:val="00427142"/>
    <w:rsid w:val="0044580A"/>
    <w:rsid w:val="004918B9"/>
    <w:rsid w:val="004B6034"/>
    <w:rsid w:val="004D0F3E"/>
    <w:rsid w:val="004D5FF0"/>
    <w:rsid w:val="004E1FC6"/>
    <w:rsid w:val="004E5AA5"/>
    <w:rsid w:val="00510B63"/>
    <w:rsid w:val="00514716"/>
    <w:rsid w:val="00537C11"/>
    <w:rsid w:val="00544DD2"/>
    <w:rsid w:val="0055716E"/>
    <w:rsid w:val="00584DB2"/>
    <w:rsid w:val="005A1B2C"/>
    <w:rsid w:val="005B1292"/>
    <w:rsid w:val="005D62BB"/>
    <w:rsid w:val="005E706A"/>
    <w:rsid w:val="005F29DC"/>
    <w:rsid w:val="00605CC8"/>
    <w:rsid w:val="0066611F"/>
    <w:rsid w:val="0068733B"/>
    <w:rsid w:val="006950CC"/>
    <w:rsid w:val="006A4DA7"/>
    <w:rsid w:val="006A69F1"/>
    <w:rsid w:val="006B7EDB"/>
    <w:rsid w:val="006D68FF"/>
    <w:rsid w:val="007237EC"/>
    <w:rsid w:val="0079295C"/>
    <w:rsid w:val="007A02D5"/>
    <w:rsid w:val="007A4663"/>
    <w:rsid w:val="007E0A82"/>
    <w:rsid w:val="007E6F4E"/>
    <w:rsid w:val="00814E08"/>
    <w:rsid w:val="00842017"/>
    <w:rsid w:val="00844835"/>
    <w:rsid w:val="00846B4C"/>
    <w:rsid w:val="00862BB0"/>
    <w:rsid w:val="00880666"/>
    <w:rsid w:val="00897A62"/>
    <w:rsid w:val="008A71F1"/>
    <w:rsid w:val="008B508E"/>
    <w:rsid w:val="008E0B2D"/>
    <w:rsid w:val="008E2FBA"/>
    <w:rsid w:val="00970F23"/>
    <w:rsid w:val="009A07C1"/>
    <w:rsid w:val="009B07C5"/>
    <w:rsid w:val="009C4585"/>
    <w:rsid w:val="009D51EF"/>
    <w:rsid w:val="009E72D7"/>
    <w:rsid w:val="00A16600"/>
    <w:rsid w:val="00A24458"/>
    <w:rsid w:val="00A40785"/>
    <w:rsid w:val="00A44081"/>
    <w:rsid w:val="00A5610A"/>
    <w:rsid w:val="00A649AA"/>
    <w:rsid w:val="00A76A4D"/>
    <w:rsid w:val="00A8513B"/>
    <w:rsid w:val="00A875D1"/>
    <w:rsid w:val="00AC7570"/>
    <w:rsid w:val="00AF176C"/>
    <w:rsid w:val="00B00B89"/>
    <w:rsid w:val="00B267D1"/>
    <w:rsid w:val="00B315B8"/>
    <w:rsid w:val="00B40A9E"/>
    <w:rsid w:val="00B51204"/>
    <w:rsid w:val="00B7608B"/>
    <w:rsid w:val="00BA3260"/>
    <w:rsid w:val="00BA762E"/>
    <w:rsid w:val="00BC0478"/>
    <w:rsid w:val="00BC05F0"/>
    <w:rsid w:val="00BD0CE0"/>
    <w:rsid w:val="00BD10B1"/>
    <w:rsid w:val="00BD506B"/>
    <w:rsid w:val="00BE26D4"/>
    <w:rsid w:val="00C4179C"/>
    <w:rsid w:val="00C844DF"/>
    <w:rsid w:val="00C85242"/>
    <w:rsid w:val="00C919B8"/>
    <w:rsid w:val="00C957D1"/>
    <w:rsid w:val="00CB54ED"/>
    <w:rsid w:val="00CC2DDC"/>
    <w:rsid w:val="00CD4218"/>
    <w:rsid w:val="00D17E67"/>
    <w:rsid w:val="00D260A5"/>
    <w:rsid w:val="00D5224C"/>
    <w:rsid w:val="00D63735"/>
    <w:rsid w:val="00D70BB9"/>
    <w:rsid w:val="00D922FB"/>
    <w:rsid w:val="00DA0760"/>
    <w:rsid w:val="00DF18DA"/>
    <w:rsid w:val="00E14E67"/>
    <w:rsid w:val="00E259D0"/>
    <w:rsid w:val="00E36D30"/>
    <w:rsid w:val="00E45D8D"/>
    <w:rsid w:val="00E473F7"/>
    <w:rsid w:val="00E83480"/>
    <w:rsid w:val="00EA1BE0"/>
    <w:rsid w:val="00EE20D1"/>
    <w:rsid w:val="00F24156"/>
    <w:rsid w:val="00F54C01"/>
    <w:rsid w:val="00F76DF9"/>
    <w:rsid w:val="00FA0FEA"/>
    <w:rsid w:val="00FC2135"/>
    <w:rsid w:val="00FD1B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23CC2"/>
  <w15:chartTrackingRefBased/>
  <w15:docId w15:val="{860FAD73-FE6F-4737-99DB-A4F23341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56"/>
    <w:pPr>
      <w:spacing w:after="0" w:line="240" w:lineRule="auto"/>
    </w:pPr>
    <w:rPr>
      <w:rFonts w:ascii="Times New Roman" w:eastAsia="Times New Roman" w:hAnsi="Times New Roman" w:cs="Times New Roman"/>
      <w:kern w:val="0"/>
      <w:sz w:val="20"/>
      <w:szCs w:val="20"/>
      <w:lang w:val="en-US"/>
      <w14:ligatures w14:val="none"/>
    </w:rPr>
  </w:style>
  <w:style w:type="paragraph" w:styleId="Heading2">
    <w:name w:val="heading 2"/>
    <w:basedOn w:val="Normal"/>
    <w:next w:val="Normal"/>
    <w:link w:val="Heading2Char"/>
    <w:uiPriority w:val="99"/>
    <w:qFormat/>
    <w:rsid w:val="003F5CC5"/>
    <w:pPr>
      <w:keepNext/>
      <w:keepLines/>
      <w:widowControl w:val="0"/>
      <w:pBdr>
        <w:top w:val="single" w:sz="4" w:space="1" w:color="auto"/>
        <w:bottom w:val="single" w:sz="4" w:space="1" w:color="auto"/>
      </w:pBdr>
      <w:shd w:val="clear" w:color="auto" w:fill="E6E6E6"/>
      <w:overflowPunct w:val="0"/>
      <w:autoSpaceDE w:val="0"/>
      <w:autoSpaceDN w:val="0"/>
      <w:adjustRightInd w:val="0"/>
      <w:spacing w:after="120"/>
      <w:jc w:val="both"/>
      <w:textAlignment w:val="baseline"/>
      <w:outlineLvl w:val="1"/>
    </w:pPr>
    <w:rPr>
      <w:rFonts w:eastAsia="Calibri"/>
      <w:b/>
      <w:bCs/>
      <w:spacing w:val="20"/>
      <w:sz w:val="30"/>
      <w:szCs w:val="30"/>
      <w:lang w:val="sl-S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F5CC5"/>
    <w:rPr>
      <w:rFonts w:ascii="Times New Roman" w:eastAsia="Calibri" w:hAnsi="Times New Roman" w:cs="Times New Roman"/>
      <w:b/>
      <w:bCs/>
      <w:spacing w:val="20"/>
      <w:kern w:val="0"/>
      <w:sz w:val="30"/>
      <w:szCs w:val="30"/>
      <w:shd w:val="clear" w:color="auto" w:fill="E6E6E6"/>
      <w:lang w:val="sl-SI"/>
      <w14:ligatures w14:val="none"/>
    </w:rPr>
  </w:style>
  <w:style w:type="paragraph" w:styleId="ListParagraph">
    <w:name w:val="List Paragraph"/>
    <w:basedOn w:val="Normal"/>
    <w:uiPriority w:val="34"/>
    <w:qFormat/>
    <w:rsid w:val="00324432"/>
    <w:pPr>
      <w:ind w:left="720"/>
      <w:contextualSpacing/>
    </w:pPr>
  </w:style>
  <w:style w:type="paragraph" w:styleId="Header">
    <w:name w:val="header"/>
    <w:basedOn w:val="Normal"/>
    <w:link w:val="HeaderChar"/>
    <w:uiPriority w:val="99"/>
    <w:unhideWhenUsed/>
    <w:rsid w:val="002C5754"/>
    <w:pPr>
      <w:tabs>
        <w:tab w:val="center" w:pos="4680"/>
        <w:tab w:val="right" w:pos="9360"/>
      </w:tabs>
    </w:pPr>
  </w:style>
  <w:style w:type="character" w:customStyle="1" w:styleId="HeaderChar">
    <w:name w:val="Header Char"/>
    <w:basedOn w:val="DefaultParagraphFont"/>
    <w:link w:val="Header"/>
    <w:uiPriority w:val="99"/>
    <w:rsid w:val="002C5754"/>
    <w:rPr>
      <w:rFonts w:ascii="Times New Roman" w:eastAsia="Times New Roman" w:hAnsi="Times New Roman" w:cs="Times New Roman"/>
      <w:kern w:val="0"/>
      <w:sz w:val="20"/>
      <w:szCs w:val="20"/>
      <w:lang w:val="en-US"/>
      <w14:ligatures w14:val="none"/>
    </w:rPr>
  </w:style>
  <w:style w:type="paragraph" w:styleId="Footer">
    <w:name w:val="footer"/>
    <w:basedOn w:val="Normal"/>
    <w:link w:val="FooterChar"/>
    <w:uiPriority w:val="99"/>
    <w:unhideWhenUsed/>
    <w:rsid w:val="002C5754"/>
    <w:pPr>
      <w:tabs>
        <w:tab w:val="center" w:pos="4680"/>
        <w:tab w:val="right" w:pos="9360"/>
      </w:tabs>
    </w:pPr>
  </w:style>
  <w:style w:type="character" w:customStyle="1" w:styleId="FooterChar">
    <w:name w:val="Footer Char"/>
    <w:basedOn w:val="DefaultParagraphFont"/>
    <w:link w:val="Footer"/>
    <w:uiPriority w:val="99"/>
    <w:rsid w:val="002C5754"/>
    <w:rPr>
      <w:rFonts w:ascii="Times New Roman" w:eastAsia="Times New Roman" w:hAnsi="Times New Roman" w:cs="Times New Roman"/>
      <w:kern w:val="0"/>
      <w:sz w:val="20"/>
      <w:szCs w:val="20"/>
      <w:lang w:val="en-US"/>
      <w14:ligatures w14:val="none"/>
    </w:rPr>
  </w:style>
  <w:style w:type="paragraph" w:styleId="Revision">
    <w:name w:val="Revision"/>
    <w:hidden/>
    <w:uiPriority w:val="99"/>
    <w:semiHidden/>
    <w:rsid w:val="00BA3260"/>
    <w:pPr>
      <w:spacing w:after="0" w:line="240" w:lineRule="auto"/>
    </w:pPr>
    <w:rPr>
      <w:rFonts w:ascii="Times New Roman" w:eastAsia="Times New Roman" w:hAnsi="Times New Roman" w:cs="Times New Roman"/>
      <w:kern w:val="0"/>
      <w:sz w:val="20"/>
      <w:szCs w:val="20"/>
      <w:lang w:val="en-US"/>
      <w14:ligatures w14:val="none"/>
    </w:rPr>
  </w:style>
  <w:style w:type="character" w:styleId="Strong">
    <w:name w:val="Strong"/>
    <w:basedOn w:val="DefaultParagraphFont"/>
    <w:uiPriority w:val="22"/>
    <w:qFormat/>
    <w:rsid w:val="00844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13499">
      <w:bodyDiv w:val="1"/>
      <w:marLeft w:val="0"/>
      <w:marRight w:val="0"/>
      <w:marTop w:val="0"/>
      <w:marBottom w:val="0"/>
      <w:divBdr>
        <w:top w:val="none" w:sz="0" w:space="0" w:color="auto"/>
        <w:left w:val="none" w:sz="0" w:space="0" w:color="auto"/>
        <w:bottom w:val="none" w:sz="0" w:space="0" w:color="auto"/>
        <w:right w:val="none" w:sz="0" w:space="0" w:color="auto"/>
      </w:divBdr>
    </w:div>
    <w:div w:id="286854399">
      <w:bodyDiv w:val="1"/>
      <w:marLeft w:val="0"/>
      <w:marRight w:val="0"/>
      <w:marTop w:val="0"/>
      <w:marBottom w:val="0"/>
      <w:divBdr>
        <w:top w:val="none" w:sz="0" w:space="0" w:color="auto"/>
        <w:left w:val="none" w:sz="0" w:space="0" w:color="auto"/>
        <w:bottom w:val="none" w:sz="0" w:space="0" w:color="auto"/>
        <w:right w:val="none" w:sz="0" w:space="0" w:color="auto"/>
      </w:divBdr>
    </w:div>
    <w:div w:id="502940141">
      <w:bodyDiv w:val="1"/>
      <w:marLeft w:val="0"/>
      <w:marRight w:val="0"/>
      <w:marTop w:val="0"/>
      <w:marBottom w:val="0"/>
      <w:divBdr>
        <w:top w:val="none" w:sz="0" w:space="0" w:color="auto"/>
        <w:left w:val="none" w:sz="0" w:space="0" w:color="auto"/>
        <w:bottom w:val="none" w:sz="0" w:space="0" w:color="auto"/>
        <w:right w:val="none" w:sz="0" w:space="0" w:color="auto"/>
      </w:divBdr>
    </w:div>
    <w:div w:id="645403382">
      <w:bodyDiv w:val="1"/>
      <w:marLeft w:val="0"/>
      <w:marRight w:val="0"/>
      <w:marTop w:val="0"/>
      <w:marBottom w:val="0"/>
      <w:divBdr>
        <w:top w:val="none" w:sz="0" w:space="0" w:color="auto"/>
        <w:left w:val="none" w:sz="0" w:space="0" w:color="auto"/>
        <w:bottom w:val="none" w:sz="0" w:space="0" w:color="auto"/>
        <w:right w:val="none" w:sz="0" w:space="0" w:color="auto"/>
      </w:divBdr>
    </w:div>
    <w:div w:id="809322282">
      <w:bodyDiv w:val="1"/>
      <w:marLeft w:val="0"/>
      <w:marRight w:val="0"/>
      <w:marTop w:val="0"/>
      <w:marBottom w:val="0"/>
      <w:divBdr>
        <w:top w:val="none" w:sz="0" w:space="0" w:color="auto"/>
        <w:left w:val="none" w:sz="0" w:space="0" w:color="auto"/>
        <w:bottom w:val="none" w:sz="0" w:space="0" w:color="auto"/>
        <w:right w:val="none" w:sz="0" w:space="0" w:color="auto"/>
      </w:divBdr>
    </w:div>
    <w:div w:id="842086130">
      <w:bodyDiv w:val="1"/>
      <w:marLeft w:val="0"/>
      <w:marRight w:val="0"/>
      <w:marTop w:val="0"/>
      <w:marBottom w:val="0"/>
      <w:divBdr>
        <w:top w:val="none" w:sz="0" w:space="0" w:color="auto"/>
        <w:left w:val="none" w:sz="0" w:space="0" w:color="auto"/>
        <w:bottom w:val="none" w:sz="0" w:space="0" w:color="auto"/>
        <w:right w:val="none" w:sz="0" w:space="0" w:color="auto"/>
      </w:divBdr>
    </w:div>
    <w:div w:id="996034878">
      <w:bodyDiv w:val="1"/>
      <w:marLeft w:val="0"/>
      <w:marRight w:val="0"/>
      <w:marTop w:val="0"/>
      <w:marBottom w:val="0"/>
      <w:divBdr>
        <w:top w:val="none" w:sz="0" w:space="0" w:color="auto"/>
        <w:left w:val="none" w:sz="0" w:space="0" w:color="auto"/>
        <w:bottom w:val="none" w:sz="0" w:space="0" w:color="auto"/>
        <w:right w:val="none" w:sz="0" w:space="0" w:color="auto"/>
      </w:divBdr>
    </w:div>
    <w:div w:id="1005017410">
      <w:bodyDiv w:val="1"/>
      <w:marLeft w:val="0"/>
      <w:marRight w:val="0"/>
      <w:marTop w:val="0"/>
      <w:marBottom w:val="0"/>
      <w:divBdr>
        <w:top w:val="none" w:sz="0" w:space="0" w:color="auto"/>
        <w:left w:val="none" w:sz="0" w:space="0" w:color="auto"/>
        <w:bottom w:val="none" w:sz="0" w:space="0" w:color="auto"/>
        <w:right w:val="none" w:sz="0" w:space="0" w:color="auto"/>
      </w:divBdr>
    </w:div>
    <w:div w:id="1405030218">
      <w:bodyDiv w:val="1"/>
      <w:marLeft w:val="0"/>
      <w:marRight w:val="0"/>
      <w:marTop w:val="0"/>
      <w:marBottom w:val="0"/>
      <w:divBdr>
        <w:top w:val="none" w:sz="0" w:space="0" w:color="auto"/>
        <w:left w:val="none" w:sz="0" w:space="0" w:color="auto"/>
        <w:bottom w:val="none" w:sz="0" w:space="0" w:color="auto"/>
        <w:right w:val="none" w:sz="0" w:space="0" w:color="auto"/>
      </w:divBdr>
    </w:div>
    <w:div w:id="1428578368">
      <w:bodyDiv w:val="1"/>
      <w:marLeft w:val="0"/>
      <w:marRight w:val="0"/>
      <w:marTop w:val="0"/>
      <w:marBottom w:val="0"/>
      <w:divBdr>
        <w:top w:val="none" w:sz="0" w:space="0" w:color="auto"/>
        <w:left w:val="none" w:sz="0" w:space="0" w:color="auto"/>
        <w:bottom w:val="none" w:sz="0" w:space="0" w:color="auto"/>
        <w:right w:val="none" w:sz="0" w:space="0" w:color="auto"/>
      </w:divBdr>
    </w:div>
    <w:div w:id="1468932639">
      <w:bodyDiv w:val="1"/>
      <w:marLeft w:val="0"/>
      <w:marRight w:val="0"/>
      <w:marTop w:val="0"/>
      <w:marBottom w:val="0"/>
      <w:divBdr>
        <w:top w:val="none" w:sz="0" w:space="0" w:color="auto"/>
        <w:left w:val="none" w:sz="0" w:space="0" w:color="auto"/>
        <w:bottom w:val="none" w:sz="0" w:space="0" w:color="auto"/>
        <w:right w:val="none" w:sz="0" w:space="0" w:color="auto"/>
      </w:divBdr>
    </w:div>
    <w:div w:id="1485123348">
      <w:bodyDiv w:val="1"/>
      <w:marLeft w:val="0"/>
      <w:marRight w:val="0"/>
      <w:marTop w:val="0"/>
      <w:marBottom w:val="0"/>
      <w:divBdr>
        <w:top w:val="none" w:sz="0" w:space="0" w:color="auto"/>
        <w:left w:val="none" w:sz="0" w:space="0" w:color="auto"/>
        <w:bottom w:val="none" w:sz="0" w:space="0" w:color="auto"/>
        <w:right w:val="none" w:sz="0" w:space="0" w:color="auto"/>
      </w:divBdr>
    </w:div>
    <w:div w:id="1503858292">
      <w:bodyDiv w:val="1"/>
      <w:marLeft w:val="0"/>
      <w:marRight w:val="0"/>
      <w:marTop w:val="0"/>
      <w:marBottom w:val="0"/>
      <w:divBdr>
        <w:top w:val="none" w:sz="0" w:space="0" w:color="auto"/>
        <w:left w:val="none" w:sz="0" w:space="0" w:color="auto"/>
        <w:bottom w:val="none" w:sz="0" w:space="0" w:color="auto"/>
        <w:right w:val="none" w:sz="0" w:space="0" w:color="auto"/>
      </w:divBdr>
    </w:div>
    <w:div w:id="1536230965">
      <w:bodyDiv w:val="1"/>
      <w:marLeft w:val="0"/>
      <w:marRight w:val="0"/>
      <w:marTop w:val="0"/>
      <w:marBottom w:val="0"/>
      <w:divBdr>
        <w:top w:val="none" w:sz="0" w:space="0" w:color="auto"/>
        <w:left w:val="none" w:sz="0" w:space="0" w:color="auto"/>
        <w:bottom w:val="none" w:sz="0" w:space="0" w:color="auto"/>
        <w:right w:val="none" w:sz="0" w:space="0" w:color="auto"/>
      </w:divBdr>
    </w:div>
    <w:div w:id="1666283877">
      <w:bodyDiv w:val="1"/>
      <w:marLeft w:val="0"/>
      <w:marRight w:val="0"/>
      <w:marTop w:val="0"/>
      <w:marBottom w:val="0"/>
      <w:divBdr>
        <w:top w:val="none" w:sz="0" w:space="0" w:color="auto"/>
        <w:left w:val="none" w:sz="0" w:space="0" w:color="auto"/>
        <w:bottom w:val="none" w:sz="0" w:space="0" w:color="auto"/>
        <w:right w:val="none" w:sz="0" w:space="0" w:color="auto"/>
      </w:divBdr>
    </w:div>
    <w:div w:id="1702321682">
      <w:bodyDiv w:val="1"/>
      <w:marLeft w:val="0"/>
      <w:marRight w:val="0"/>
      <w:marTop w:val="0"/>
      <w:marBottom w:val="0"/>
      <w:divBdr>
        <w:top w:val="none" w:sz="0" w:space="0" w:color="auto"/>
        <w:left w:val="none" w:sz="0" w:space="0" w:color="auto"/>
        <w:bottom w:val="none" w:sz="0" w:space="0" w:color="auto"/>
        <w:right w:val="none" w:sz="0" w:space="0" w:color="auto"/>
      </w:divBdr>
    </w:div>
    <w:div w:id="1806773519">
      <w:bodyDiv w:val="1"/>
      <w:marLeft w:val="0"/>
      <w:marRight w:val="0"/>
      <w:marTop w:val="0"/>
      <w:marBottom w:val="0"/>
      <w:divBdr>
        <w:top w:val="none" w:sz="0" w:space="0" w:color="auto"/>
        <w:left w:val="none" w:sz="0" w:space="0" w:color="auto"/>
        <w:bottom w:val="none" w:sz="0" w:space="0" w:color="auto"/>
        <w:right w:val="none" w:sz="0" w:space="0" w:color="auto"/>
      </w:divBdr>
    </w:div>
    <w:div w:id="1822962440">
      <w:bodyDiv w:val="1"/>
      <w:marLeft w:val="0"/>
      <w:marRight w:val="0"/>
      <w:marTop w:val="0"/>
      <w:marBottom w:val="0"/>
      <w:divBdr>
        <w:top w:val="none" w:sz="0" w:space="0" w:color="auto"/>
        <w:left w:val="none" w:sz="0" w:space="0" w:color="auto"/>
        <w:bottom w:val="none" w:sz="0" w:space="0" w:color="auto"/>
        <w:right w:val="none" w:sz="0" w:space="0" w:color="auto"/>
      </w:divBdr>
    </w:div>
    <w:div w:id="1836220030">
      <w:bodyDiv w:val="1"/>
      <w:marLeft w:val="0"/>
      <w:marRight w:val="0"/>
      <w:marTop w:val="0"/>
      <w:marBottom w:val="0"/>
      <w:divBdr>
        <w:top w:val="none" w:sz="0" w:space="0" w:color="auto"/>
        <w:left w:val="none" w:sz="0" w:space="0" w:color="auto"/>
        <w:bottom w:val="none" w:sz="0" w:space="0" w:color="auto"/>
        <w:right w:val="none" w:sz="0" w:space="0" w:color="auto"/>
      </w:divBdr>
    </w:div>
    <w:div w:id="1884244402">
      <w:bodyDiv w:val="1"/>
      <w:marLeft w:val="0"/>
      <w:marRight w:val="0"/>
      <w:marTop w:val="0"/>
      <w:marBottom w:val="0"/>
      <w:divBdr>
        <w:top w:val="none" w:sz="0" w:space="0" w:color="auto"/>
        <w:left w:val="none" w:sz="0" w:space="0" w:color="auto"/>
        <w:bottom w:val="none" w:sz="0" w:space="0" w:color="auto"/>
        <w:right w:val="none" w:sz="0" w:space="0" w:color="auto"/>
      </w:divBdr>
      <w:divsChild>
        <w:div w:id="2092390754">
          <w:marLeft w:val="0"/>
          <w:marRight w:val="0"/>
          <w:marTop w:val="75"/>
          <w:marBottom w:val="0"/>
          <w:divBdr>
            <w:top w:val="none" w:sz="0" w:space="0" w:color="auto"/>
            <w:left w:val="none" w:sz="0" w:space="0" w:color="auto"/>
            <w:bottom w:val="none" w:sz="0" w:space="0" w:color="auto"/>
            <w:right w:val="none" w:sz="0" w:space="0" w:color="auto"/>
          </w:divBdr>
          <w:divsChild>
            <w:div w:id="1159465034">
              <w:marLeft w:val="0"/>
              <w:marRight w:val="0"/>
              <w:marTop w:val="0"/>
              <w:marBottom w:val="0"/>
              <w:divBdr>
                <w:top w:val="none" w:sz="0" w:space="0" w:color="auto"/>
                <w:left w:val="none" w:sz="0" w:space="0" w:color="auto"/>
                <w:bottom w:val="none" w:sz="0" w:space="0" w:color="auto"/>
                <w:right w:val="none" w:sz="0" w:space="0" w:color="auto"/>
              </w:divBdr>
              <w:divsChild>
                <w:div w:id="1918978972">
                  <w:marLeft w:val="0"/>
                  <w:marRight w:val="0"/>
                  <w:marTop w:val="0"/>
                  <w:marBottom w:val="0"/>
                  <w:divBdr>
                    <w:top w:val="none" w:sz="0" w:space="0" w:color="auto"/>
                    <w:left w:val="none" w:sz="0" w:space="0" w:color="auto"/>
                    <w:bottom w:val="none" w:sz="0" w:space="0" w:color="auto"/>
                    <w:right w:val="none" w:sz="0" w:space="0" w:color="auto"/>
                  </w:divBdr>
                  <w:divsChild>
                    <w:div w:id="12728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6353">
              <w:marLeft w:val="0"/>
              <w:marRight w:val="0"/>
              <w:marTop w:val="0"/>
              <w:marBottom w:val="0"/>
              <w:divBdr>
                <w:top w:val="none" w:sz="0" w:space="0" w:color="auto"/>
                <w:left w:val="none" w:sz="0" w:space="0" w:color="auto"/>
                <w:bottom w:val="none" w:sz="0" w:space="0" w:color="auto"/>
                <w:right w:val="none" w:sz="0" w:space="0" w:color="auto"/>
              </w:divBdr>
              <w:divsChild>
                <w:div w:id="305552628">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6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11</Pages>
  <Words>2667</Words>
  <Characters>15204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Smoljić</dc:creator>
  <cp:keywords/>
  <dc:description/>
  <cp:lastModifiedBy>Zrinka Grizelj</cp:lastModifiedBy>
  <cp:revision>5</cp:revision>
  <dcterms:created xsi:type="dcterms:W3CDTF">2025-03-24T11:32:00Z</dcterms:created>
  <dcterms:modified xsi:type="dcterms:W3CDTF">2025-03-24T12:47:00Z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c8297acf-a095-4307-bb5a-12f1545d7713</vt:lpwstr>
  </property>
</Properties>
</file>