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57BC" w:rsidP="2E04E4F5" w:rsidRDefault="00DD7665" w14:paraId="00000001" w14:textId="77777777">
      <w:pPr>
        <w:pStyle w:val="Heading2"/>
        <w:jc w:val="both"/>
        <w:rPr>
          <w:sz w:val="28"/>
          <w:szCs w:val="28"/>
          <w:lang w:val="hr-HR"/>
        </w:rPr>
      </w:pPr>
      <w:r w:rsidRPr="2E04E4F5" w:rsidR="00DD7665">
        <w:rPr>
          <w:sz w:val="28"/>
          <w:szCs w:val="28"/>
          <w:lang w:val="hr-HR"/>
        </w:rPr>
        <w:t>Napomena</w:t>
      </w:r>
    </w:p>
    <w:p w:rsidR="005657BC" w:rsidP="348B1361" w:rsidRDefault="00DD7665" w14:paraId="00000002" w14:textId="77777777">
      <w:pPr>
        <w:jc w:val="left"/>
        <w:rPr>
          <w:lang w:val="hr-HR"/>
        </w:rPr>
      </w:pPr>
      <w:r w:rsidRPr="348B1361" w:rsidR="00DD7665">
        <w:rPr>
          <w:lang w:val="hr-HR"/>
        </w:rPr>
        <w:t xml:space="preserve">Uporaba imenica (stručnjak, učitelj, nastavnik, kandidat) u tekstu podrazumijeva i osobe ženskog i muškog spola, dakle: stručnjak/stručnjakinja, učitelj/učiteljica, nastavnik/nastavnica, kandidat/kandidatkinja. </w:t>
      </w:r>
    </w:p>
    <w:p w:rsidR="005657BC" w:rsidP="2E04E4F5" w:rsidRDefault="00DD7665" w14:paraId="00000003" w14:textId="77777777">
      <w:pPr>
        <w:pStyle w:val="Heading2"/>
        <w:jc w:val="both"/>
        <w:rPr>
          <w:rFonts w:ascii="Aptos" w:hAnsi="Aptos" w:eastAsia="Aptos" w:cs="Aptos"/>
          <w:color w:val="000000"/>
          <w:sz w:val="24"/>
          <w:szCs w:val="24"/>
          <w:lang w:val="hr-HR"/>
        </w:rPr>
      </w:pPr>
      <w:r w:rsidRPr="2E04E4F5" w:rsidR="00DD7665">
        <w:rPr>
          <w:sz w:val="28"/>
          <w:szCs w:val="28"/>
          <w:lang w:val="hr-HR"/>
        </w:rPr>
        <w:t xml:space="preserve">  </w:t>
      </w:r>
    </w:p>
    <w:p w:rsidR="005657BC" w:rsidP="2E04E4F5" w:rsidRDefault="00DD7665" w14:paraId="00000004" w14:textId="77777777">
      <w:pPr>
        <w:pStyle w:val="Heading2"/>
        <w:jc w:val="both"/>
        <w:rPr>
          <w:sz w:val="28"/>
          <w:szCs w:val="28"/>
          <w:lang w:val="hr-HR"/>
        </w:rPr>
      </w:pPr>
      <w:r w:rsidRPr="2E04E4F5" w:rsidR="00DD7665">
        <w:rPr>
          <w:sz w:val="28"/>
          <w:szCs w:val="28"/>
          <w:lang w:val="hr-HR"/>
        </w:rPr>
        <w:t>Svrha javnog poziva</w:t>
      </w:r>
    </w:p>
    <w:p w:rsidR="005657BC" w:rsidP="27F9B872" w:rsidRDefault="005657BC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lang w:val="hr-HR"/>
        </w:rPr>
      </w:pPr>
    </w:p>
    <w:p w:rsidR="005657BC" w:rsidP="27F9B872" w:rsidRDefault="00DD7665" w14:paraId="00000006" w14:textId="77777777">
      <w:pPr>
        <w:spacing w:before="240" w:after="240" w:line="240" w:lineRule="auto"/>
        <w:jc w:val="both"/>
        <w:rPr>
          <w:lang w:val="hr-HR"/>
        </w:rPr>
      </w:pPr>
      <w:r w:rsidRPr="27F9B872">
        <w:rPr>
          <w:lang w:val="hr-HR"/>
        </w:rPr>
        <w:t>Ovim javnim pozivom pozivaju se pojedinci, predmetni stručnjaci – učitelji i nastavnici osnovnih i srednjih škola u Republici Hrvatskoj, na prijavu za pružanje usluge recenzije izrađenih predmetnih sadržaja koji pokrivaju 100% važećeg kurikuluma odnosno doprinose ostvarivanju 100% odgojno-obrazovnih ishoda kurikuluma za pojedini nastavni predmet i razred.</w:t>
      </w:r>
    </w:p>
    <w:p w:rsidR="005657BC" w:rsidP="4E6A7D4B" w:rsidRDefault="731B3C76" w14:paraId="54F93D9F" w14:textId="73D189FF">
      <w:pPr>
        <w:pStyle w:val="Normal"/>
        <w:spacing w:before="240" w:after="240" w:line="240" w:lineRule="auto"/>
        <w:jc w:val="both"/>
        <w:rPr>
          <w:rFonts w:ascii="Arial" w:hAnsi="Arial" w:eastAsia="Arial" w:cs="Arial"/>
          <w:lang w:val="hr-HR"/>
        </w:rPr>
      </w:pPr>
      <w:r w:rsidRPr="348B1361" w:rsidR="731B3C76">
        <w:rPr>
          <w:lang w:val="hr-HR"/>
        </w:rPr>
        <w:t xml:space="preserve">Izrađeni </w:t>
      </w:r>
      <w:r w:rsidRPr="348B1361" w:rsidR="57977C93">
        <w:rPr>
          <w:lang w:val="hr-HR"/>
        </w:rPr>
        <w:t>p</w:t>
      </w:r>
      <w:r w:rsidRPr="348B1361" w:rsidR="00DD7665">
        <w:rPr>
          <w:lang w:val="hr-HR"/>
        </w:rPr>
        <w:t>redmetni sadržaji</w:t>
      </w:r>
      <w:r w:rsidRPr="348B1361" w:rsidR="4105DA94">
        <w:rPr>
          <w:lang w:val="hr-HR"/>
        </w:rPr>
        <w:t xml:space="preserve"> koji </w:t>
      </w:r>
      <w:r w:rsidRPr="348B1361" w:rsidR="235CDF45">
        <w:rPr>
          <w:lang w:val="hr-HR"/>
        </w:rPr>
        <w:t>zahtijevaju</w:t>
      </w:r>
      <w:r w:rsidRPr="348B1361" w:rsidR="4105DA94">
        <w:rPr>
          <w:lang w:val="hr-HR"/>
        </w:rPr>
        <w:t xml:space="preserve"> recenzi</w:t>
      </w:r>
      <w:r w:rsidRPr="348B1361" w:rsidR="4105DA94">
        <w:rPr>
          <w:lang w:val="hr-HR"/>
        </w:rPr>
        <w:t>ju</w:t>
      </w:r>
      <w:r w:rsidRPr="348B1361" w:rsidR="260E046C">
        <w:rPr>
          <w:lang w:val="hr-HR"/>
        </w:rPr>
        <w:t xml:space="preserve"> </w:t>
      </w:r>
      <w:r w:rsidRPr="348B1361" w:rsidR="00DD7665">
        <w:rPr>
          <w:lang w:val="hr-HR"/>
        </w:rPr>
        <w:t xml:space="preserve">temeljit će se na predmetnom sadržaju i strukturi već izrađenih digitalnih obrazovnih sadržaja (dalje u tekstu: DOS), proizašlih iz projekta “e-Škole: Cjelovita informatizacija procesa poslovanja škola i nastavnih procesa u svrhu stvaranja digitalno zrelih škola za 21. stoljeće”. </w:t>
      </w:r>
      <w:r w:rsidRPr="348B1361" w:rsidR="6864CAB8">
        <w:rPr>
          <w:lang w:val="hr-HR"/>
        </w:rPr>
        <w:t>Predmetni sadržaj</w:t>
      </w:r>
      <w:r w:rsidRPr="348B1361" w:rsidR="5F7FBCB4">
        <w:rPr>
          <w:lang w:val="hr-HR"/>
        </w:rPr>
        <w:t>i</w:t>
      </w:r>
      <w:r w:rsidRPr="348B1361" w:rsidR="6864CAB8">
        <w:rPr>
          <w:lang w:val="hr-HR"/>
        </w:rPr>
        <w:t xml:space="preserve"> iz DOS-ova </w:t>
      </w:r>
      <w:r w:rsidRPr="348B1361" w:rsidR="5389D2C5">
        <w:rPr>
          <w:lang w:val="hr-HR"/>
        </w:rPr>
        <w:t>dorađuju se i proširuju</w:t>
      </w:r>
      <w:r w:rsidRPr="348B1361" w:rsidR="6864CAB8">
        <w:rPr>
          <w:lang w:val="hr-HR"/>
        </w:rPr>
        <w:t>, u tekstualnom obliku, bez dodatnih interaktivnih te samostalnih i multimedijskih sadržaja, kako bi novoizrađeni predmetni sadržaj doprinio ostvarivanju 100% odgojno-obrazovnih ishoda kurikuluma za pojedini nastavni predmet i razred.</w:t>
      </w:r>
    </w:p>
    <w:p w:rsidR="005657BC" w:rsidP="2E04E4F5" w:rsidRDefault="00DD7665" w14:paraId="00000008" w14:textId="020FA783">
      <w:pPr>
        <w:pStyle w:val="Normal"/>
        <w:spacing w:before="240" w:after="240" w:line="240" w:lineRule="auto"/>
        <w:jc w:val="both"/>
        <w:rPr>
          <w:lang w:val="hr-HR"/>
        </w:rPr>
      </w:pPr>
      <w:r w:rsidRPr="348B1361" w:rsidR="2A291941">
        <w:rPr>
          <w:lang w:val="hr-HR"/>
        </w:rPr>
        <w:t>Recenzirani</w:t>
      </w:r>
      <w:r w:rsidRPr="348B1361" w:rsidR="00DD7665">
        <w:rPr>
          <w:lang w:val="hr-HR"/>
        </w:rPr>
        <w:t xml:space="preserve"> predmetni sadržaji koristit će se isključivo u svrhu što kvalitetnijeg treniranja virtualnog </w:t>
      </w:r>
      <w:r w:rsidRPr="348B1361" w:rsidR="267CE80B">
        <w:rPr>
          <w:lang w:val="hr-HR"/>
        </w:rPr>
        <w:t>pomoćnik</w:t>
      </w:r>
      <w:r w:rsidRPr="348B1361" w:rsidR="00DD7665">
        <w:rPr>
          <w:lang w:val="hr-HR"/>
        </w:rPr>
        <w:t xml:space="preserve">a koji će biti izrađen u sklopu projekta </w:t>
      </w:r>
      <w:r w:rsidRPr="348B1361" w:rsidR="00DD7665">
        <w:rPr>
          <w:lang w:val="hr-HR"/>
        </w:rPr>
        <w:t>BrAIn</w:t>
      </w:r>
      <w:r w:rsidRPr="348B1361" w:rsidR="00DD7665">
        <w:rPr>
          <w:lang w:val="hr-HR"/>
        </w:rPr>
        <w:t xml:space="preserve">, a služit će za personalizaciju procesa učenja i poučavanja. Svrha virtualnog </w:t>
      </w:r>
      <w:r w:rsidRPr="348B1361" w:rsidR="411ECF27">
        <w:rPr>
          <w:lang w:val="hr-HR"/>
        </w:rPr>
        <w:t>pomoćnika</w:t>
      </w:r>
      <w:r w:rsidRPr="348B1361" w:rsidR="00DD7665">
        <w:rPr>
          <w:lang w:val="hr-HR"/>
        </w:rPr>
        <w:t xml:space="preserve"> u učenju je razviti napredan alat dostupan učenicima, roditeljima, nastavnom osoblju, ravnateljima, stručnim službama i drugim dionicima obrazovnog sustava koji bi pomogao učenicima u ostvarivanju odgojno obrazovnih ishoda predmetnih kurikuluma na što višoj razini te kako bi se postigao dublji i bolji uvid u njihova postignuća. Virtualni </w:t>
      </w:r>
      <w:r w:rsidRPr="348B1361" w:rsidR="3E31C36B">
        <w:rPr>
          <w:lang w:val="hr-HR"/>
        </w:rPr>
        <w:t>pomoćnik</w:t>
      </w:r>
      <w:r w:rsidRPr="348B1361" w:rsidR="00DD7665">
        <w:rPr>
          <w:lang w:val="hr-HR"/>
        </w:rPr>
        <w:t xml:space="preserve"> u učenju bit će realiziran putem aplikacije unutar CARNET-ovog ekosustava, a temeljen je na naprednim metodama strojnog učenja i umjetne inteligencije.</w:t>
      </w:r>
    </w:p>
    <w:p w:rsidR="005657BC" w:rsidP="27F9B872" w:rsidRDefault="00DD7665" w14:paraId="00000009" w14:textId="6D2F2C70">
      <w:pPr>
        <w:spacing w:after="0" w:line="240" w:lineRule="auto"/>
        <w:jc w:val="both"/>
        <w:rPr>
          <w:lang w:val="hr-HR"/>
        </w:rPr>
      </w:pPr>
      <w:r w:rsidRPr="6E9DC625" w:rsidR="00DD7665">
        <w:rPr>
          <w:lang w:val="hr-HR"/>
        </w:rPr>
        <w:t>Ovim javnim pozivom potražuju se predmetni stručnjaci za</w:t>
      </w:r>
      <w:r w:rsidRPr="6E9DC625" w:rsidR="7CCFC396">
        <w:rPr>
          <w:lang w:val="hr-HR"/>
        </w:rPr>
        <w:t xml:space="preserve"> </w:t>
      </w:r>
      <w:r w:rsidRPr="6E9DC625" w:rsidR="7CCFC396">
        <w:rPr>
          <w:lang w:val="hr-HR"/>
        </w:rPr>
        <w:t>recenziju</w:t>
      </w:r>
      <w:r w:rsidRPr="6E9DC625" w:rsidR="00DD7665">
        <w:rPr>
          <w:lang w:val="hr-HR"/>
        </w:rPr>
        <w:t xml:space="preserve"> prv</w:t>
      </w:r>
      <w:r w:rsidRPr="6E9DC625" w:rsidR="3CAE0103">
        <w:rPr>
          <w:lang w:val="hr-HR"/>
        </w:rPr>
        <w:t>e</w:t>
      </w:r>
      <w:r w:rsidRPr="6E9DC625" w:rsidR="00DD7665">
        <w:rPr>
          <w:lang w:val="hr-HR"/>
        </w:rPr>
        <w:t xml:space="preserve"> faz</w:t>
      </w:r>
      <w:r w:rsidRPr="6E9DC625" w:rsidR="0FC883F3">
        <w:rPr>
          <w:lang w:val="hr-HR"/>
        </w:rPr>
        <w:t>e</w:t>
      </w:r>
      <w:r w:rsidRPr="6E9DC625" w:rsidR="00DD7665">
        <w:rPr>
          <w:lang w:val="hr-HR"/>
        </w:rPr>
        <w:t xml:space="preserve"> izrade predmetnih sadržaja iz sljedećih predmeta: Hrvatski jezik, Povijest, Geografija i Matematika.</w:t>
      </w:r>
    </w:p>
    <w:p w:rsidR="005657BC" w:rsidP="27F9B872" w:rsidRDefault="005657BC" w14:paraId="0000000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lang w:val="hr-HR"/>
        </w:rPr>
      </w:pPr>
    </w:p>
    <w:p w:rsidR="005657BC" w:rsidP="27F9B872" w:rsidRDefault="005657BC" w14:paraId="0000000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lang w:val="hr-HR"/>
        </w:rPr>
      </w:pPr>
    </w:p>
    <w:p w:rsidR="005657BC" w:rsidP="2E04E4F5" w:rsidRDefault="00DD7665" w14:paraId="0000000C" w14:textId="77777777">
      <w:pPr>
        <w:pStyle w:val="Heading2"/>
        <w:jc w:val="both"/>
        <w:rPr>
          <w:sz w:val="28"/>
          <w:szCs w:val="28"/>
          <w:lang w:val="hr-HR"/>
        </w:rPr>
      </w:pPr>
      <w:r w:rsidRPr="2E04E4F5" w:rsidR="00DD7665">
        <w:rPr>
          <w:sz w:val="28"/>
          <w:szCs w:val="28"/>
          <w:lang w:val="hr-HR"/>
        </w:rPr>
        <w:t>Predmetni stručnjaci - recenzenti</w:t>
      </w:r>
    </w:p>
    <w:p w:rsidR="005657BC" w:rsidP="2E04E4F5" w:rsidRDefault="00DD7665" w14:paraId="0000000D" w14:textId="6BA165B0">
      <w:pPr>
        <w:jc w:val="both"/>
        <w:rPr>
          <w:lang w:val="hr-HR"/>
        </w:rPr>
      </w:pPr>
      <w:r w:rsidRPr="348B1361" w:rsidR="00DD7665">
        <w:rPr>
          <w:lang w:val="hr-HR"/>
        </w:rPr>
        <w:t xml:space="preserve">Ovim javnim pozivom potražuje se </w:t>
      </w:r>
      <w:r w:rsidRPr="348B1361" w:rsidR="05362DD2">
        <w:rPr>
          <w:lang w:val="hr-HR"/>
        </w:rPr>
        <w:t>40</w:t>
      </w:r>
      <w:r w:rsidRPr="348B1361" w:rsidR="00DD7665">
        <w:rPr>
          <w:lang w:val="hr-HR"/>
        </w:rPr>
        <w:t xml:space="preserve"> predmetn</w:t>
      </w:r>
      <w:r w:rsidRPr="348B1361" w:rsidR="18956EB6">
        <w:rPr>
          <w:lang w:val="hr-HR"/>
        </w:rPr>
        <w:t>ih</w:t>
      </w:r>
      <w:r w:rsidRPr="348B1361" w:rsidR="00DD7665">
        <w:rPr>
          <w:lang w:val="hr-HR"/>
        </w:rPr>
        <w:t xml:space="preserve"> stručnjaka-recenzen</w:t>
      </w:r>
      <w:r w:rsidRPr="348B1361" w:rsidR="251A5BDE">
        <w:rPr>
          <w:lang w:val="hr-HR"/>
        </w:rPr>
        <w:t>a</w:t>
      </w:r>
      <w:r w:rsidRPr="348B1361" w:rsidR="00DD7665">
        <w:rPr>
          <w:lang w:val="hr-HR"/>
        </w:rPr>
        <w:t>ta koji će recenzirati predmetne sadržaje temeljenih na e-Škole digitalnim obrazovnim sadržajima.</w:t>
      </w:r>
    </w:p>
    <w:p w:rsidR="005657BC" w:rsidP="2E04E4F5" w:rsidRDefault="00DD7665" w14:paraId="0000000E" w14:textId="27B2C5E0">
      <w:pPr>
        <w:spacing w:after="0"/>
        <w:jc w:val="both"/>
        <w:rPr>
          <w:lang w:val="hr-HR"/>
        </w:rPr>
      </w:pPr>
      <w:r w:rsidRPr="2E04E4F5" w:rsidR="00DD7665">
        <w:rPr>
          <w:b w:val="1"/>
          <w:bCs w:val="1"/>
          <w:lang w:val="hr-HR"/>
        </w:rPr>
        <w:t>Predmetni stručnjak-recenzent je</w:t>
      </w:r>
      <w:r w:rsidRPr="2E04E4F5" w:rsidR="00DD7665">
        <w:rPr>
          <w:lang w:val="hr-HR"/>
        </w:rPr>
        <w:t xml:space="preserve"> zadužen za recenziranje i oblikovanje izrađenog predmetnog sadržaja, a na temelju relevantnih kurikularnih dokumenata za pojedini nastavni predmet za pojedini razred osnovne škole ili </w:t>
      </w:r>
      <w:r w:rsidRPr="2E04E4F5" w:rsidR="6EC8DBC3">
        <w:rPr>
          <w:lang w:val="hr-HR"/>
        </w:rPr>
        <w:t>gimnazije</w:t>
      </w:r>
      <w:r w:rsidRPr="2E04E4F5" w:rsidR="00DD7665">
        <w:rPr>
          <w:b w:val="1"/>
          <w:bCs w:val="1"/>
          <w:lang w:val="hr-HR"/>
        </w:rPr>
        <w:t xml:space="preserve"> </w:t>
      </w:r>
      <w:r w:rsidRPr="2E04E4F5" w:rsidR="00DD7665">
        <w:rPr>
          <w:lang w:val="hr-HR"/>
        </w:rPr>
        <w:t xml:space="preserve">u skladu s pravilima struke te uz osiguranje kvalitete, istinitosti i znanstvene utemeljenosti predmetnog sadržaja. </w:t>
      </w:r>
    </w:p>
    <w:p w:rsidR="005657BC" w:rsidP="2E04E4F5" w:rsidRDefault="00DD7665" w14:paraId="0000000F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Predmetni stručnjak-recenzent usko će surađivati i komunicirati s odgovornom osobom koju imenuje CARNET kao naručitelj i autorom predmetnog sadržaja.</w:t>
      </w:r>
    </w:p>
    <w:p w:rsidR="005657BC" w:rsidP="2E04E4F5" w:rsidRDefault="00DD7665" w14:paraId="00000011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Pozivaju se sljedeći predmetni stručnjaci-recenzenti:</w:t>
      </w:r>
    </w:p>
    <w:p w:rsidR="005657BC" w:rsidP="348B1361" w:rsidRDefault="00DD7665" w14:paraId="00000012" w14:textId="3B3D42A2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color w:val="000000"/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color w:val="000000" w:themeColor="text1" w:themeTint="FF" w:themeShade="FF"/>
          <w:lang w:val="hr-HR"/>
        </w:rPr>
        <w:t xml:space="preserve"> </w:t>
      </w:r>
      <w:r w:rsidRPr="348B1361" w:rsidR="00DD7665">
        <w:rPr>
          <w:lang w:val="hr-HR"/>
        </w:rPr>
        <w:t xml:space="preserve">Hrvatski jezik </w:t>
      </w:r>
      <w:r w:rsidRPr="348B1361" w:rsidR="00DD7665">
        <w:rPr>
          <w:color w:val="000000" w:themeColor="text1" w:themeTint="FF" w:themeShade="FF"/>
          <w:lang w:val="hr-HR"/>
        </w:rPr>
        <w:t xml:space="preserve">5. </w:t>
      </w:r>
      <w:r w:rsidRPr="348B1361" w:rsidR="4C72C430">
        <w:rPr>
          <w:color w:val="000000" w:themeColor="text1" w:themeTint="FF" w:themeShade="FF"/>
          <w:lang w:val="hr-HR"/>
        </w:rPr>
        <w:t xml:space="preserve">razred </w:t>
      </w:r>
      <w:r w:rsidRPr="348B1361" w:rsidR="00DD7665">
        <w:rPr>
          <w:color w:val="000000" w:themeColor="text1" w:themeTint="FF" w:themeShade="FF"/>
          <w:lang w:val="hr-HR"/>
        </w:rPr>
        <w:t>osnovne škole</w:t>
      </w:r>
      <w:r w:rsidRPr="348B1361" w:rsidR="00DD7665">
        <w:rPr>
          <w:lang w:val="hr-HR"/>
        </w:rPr>
        <w:t xml:space="preserve"> - 2 izvršitelja</w:t>
      </w:r>
    </w:p>
    <w:p w:rsidR="0A9C6D01" w:rsidP="348B1361" w:rsidRDefault="0A9C6D01" w14:paraId="6AFD35B1" w14:textId="7320C25D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color w:val="000000" w:themeColor="text1" w:themeTint="FF" w:themeShade="FF"/>
          <w:lang w:val="hr-HR"/>
        </w:rPr>
      </w:pPr>
      <w:r w:rsidRPr="348B1361" w:rsidR="0A9C6D01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A9C6D01">
        <w:rPr>
          <w:color w:val="000000" w:themeColor="text1" w:themeTint="FF" w:themeShade="FF"/>
          <w:lang w:val="hr-HR"/>
        </w:rPr>
        <w:t xml:space="preserve"> </w:t>
      </w:r>
      <w:r w:rsidRPr="348B1361" w:rsidR="0A9C6D01">
        <w:rPr>
          <w:lang w:val="hr-HR"/>
        </w:rPr>
        <w:t xml:space="preserve">Hrvatski jezik </w:t>
      </w:r>
      <w:r w:rsidRPr="348B1361" w:rsidR="0A9C6D01">
        <w:rPr>
          <w:color w:val="000000" w:themeColor="text1" w:themeTint="FF" w:themeShade="FF"/>
          <w:lang w:val="hr-HR"/>
        </w:rPr>
        <w:t>6. razred osnovne škole</w:t>
      </w:r>
      <w:r w:rsidRPr="348B1361" w:rsidR="0A9C6D01">
        <w:rPr>
          <w:lang w:val="hr-HR"/>
        </w:rPr>
        <w:t xml:space="preserve"> - 2 izvršitelja</w:t>
      </w:r>
    </w:p>
    <w:p w:rsidR="0A9C6D01" w:rsidP="348B1361" w:rsidRDefault="0A9C6D01" w14:paraId="5C09CABB" w14:textId="7878D32B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0A9C6D01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A9C6D01">
        <w:rPr>
          <w:color w:val="000000" w:themeColor="text1" w:themeTint="FF" w:themeShade="FF"/>
          <w:lang w:val="hr-HR"/>
        </w:rPr>
        <w:t xml:space="preserve"> </w:t>
      </w:r>
      <w:r w:rsidRPr="348B1361" w:rsidR="0A9C6D01">
        <w:rPr>
          <w:lang w:val="hr-HR"/>
        </w:rPr>
        <w:t>Hrvatski jezik 7. razred osnovne škole - 2 izvršitelja</w:t>
      </w:r>
    </w:p>
    <w:p w:rsidR="005657BC" w:rsidP="2E04E4F5" w:rsidRDefault="00DD7665" w14:paraId="00000014" w14:textId="20ACE651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color w:val="000000" w:themeColor="text1" w:themeTint="FF" w:themeShade="FF"/>
          <w:lang w:val="hr-HR"/>
        </w:rPr>
        <w:t xml:space="preserve"> </w:t>
      </w:r>
      <w:r w:rsidRPr="348B1361" w:rsidR="00DD7665">
        <w:rPr>
          <w:lang w:val="hr-HR"/>
        </w:rPr>
        <w:t xml:space="preserve">Hrvatski jezik </w:t>
      </w:r>
      <w:r w:rsidRPr="348B1361" w:rsidR="05825523">
        <w:rPr>
          <w:lang w:val="hr-HR"/>
        </w:rPr>
        <w:t>8.</w:t>
      </w:r>
      <w:r w:rsidRPr="348B1361" w:rsidR="00DD7665">
        <w:rPr>
          <w:lang w:val="hr-HR"/>
        </w:rPr>
        <w:t xml:space="preserve"> razred osnovne škole - 2 izvršitelja</w:t>
      </w:r>
    </w:p>
    <w:p w:rsidR="005657BC" w:rsidP="348B1361" w:rsidRDefault="00DD7665" w14:paraId="00000016" w14:textId="6BEB3C5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color w:val="000000" w:themeColor="text1" w:themeTint="FF" w:themeShade="FF"/>
          <w:lang w:val="hr-HR"/>
        </w:rPr>
        <w:t xml:space="preserve"> Hrvatski jezik 1. </w:t>
      </w:r>
      <w:r w:rsidRPr="348B1361" w:rsidR="007FE536">
        <w:rPr>
          <w:color w:val="000000" w:themeColor="text1" w:themeTint="FF" w:themeShade="FF"/>
          <w:lang w:val="hr-HR"/>
        </w:rPr>
        <w:t>r</w:t>
      </w:r>
      <w:r w:rsidRPr="348B1361" w:rsidR="00DD7665">
        <w:rPr>
          <w:color w:val="000000" w:themeColor="text1" w:themeTint="FF" w:themeShade="FF"/>
          <w:lang w:val="hr-HR"/>
        </w:rPr>
        <w:t xml:space="preserve">azred gimnazije </w:t>
      </w:r>
      <w:r w:rsidRPr="348B1361" w:rsidR="00DD7665">
        <w:rPr>
          <w:lang w:val="hr-HR"/>
        </w:rPr>
        <w:t>- 2 izvršitelja</w:t>
      </w:r>
    </w:p>
    <w:p w:rsidR="3F7DE61F" w:rsidP="348B1361" w:rsidRDefault="3F7DE61F" w14:paraId="1538A476" w14:textId="18900218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lang w:val="hr-HR"/>
        </w:rPr>
      </w:pPr>
      <w:r w:rsidRPr="348B1361" w:rsidR="3F7DE61F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3F7DE61F">
        <w:rPr>
          <w:color w:val="000000" w:themeColor="text1" w:themeTint="FF" w:themeShade="FF"/>
          <w:lang w:val="hr-HR"/>
        </w:rPr>
        <w:t xml:space="preserve"> Hrvatski jezik 2. razred gimnazije </w:t>
      </w:r>
      <w:r w:rsidRPr="348B1361" w:rsidR="3F7DE61F">
        <w:rPr>
          <w:lang w:val="hr-HR"/>
        </w:rPr>
        <w:t>- 2 izvršitelja</w:t>
      </w:r>
    </w:p>
    <w:p w:rsidR="3F7DE61F" w:rsidP="348B1361" w:rsidRDefault="3F7DE61F" w14:paraId="7F42AA7E" w14:textId="01DC48BC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3F7DE61F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3F7DE61F">
        <w:rPr>
          <w:lang w:val="hr-HR"/>
        </w:rPr>
        <w:t xml:space="preserve"> Hrvatski jezik 3. razred gimnazije - 2 izvršitelja</w:t>
      </w:r>
    </w:p>
    <w:p w:rsidR="005657BC" w:rsidP="2E04E4F5" w:rsidRDefault="00DD7665" w14:paraId="00000018" w14:textId="7BAE553D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lang w:val="hr-HR"/>
        </w:rPr>
        <w:t xml:space="preserve"> Hrvatski jezik </w:t>
      </w:r>
      <w:r w:rsidRPr="348B1361" w:rsidR="518C69C7">
        <w:rPr>
          <w:lang w:val="hr-HR"/>
        </w:rPr>
        <w:t xml:space="preserve">4. </w:t>
      </w:r>
      <w:r w:rsidRPr="348B1361" w:rsidR="00DD7665">
        <w:rPr>
          <w:lang w:val="hr-HR"/>
        </w:rPr>
        <w:t>razred gimnazije - 2 izvršitelja</w:t>
      </w:r>
    </w:p>
    <w:p w:rsidR="005657BC" w:rsidP="348B1361" w:rsidRDefault="00DD7665" w14:paraId="0000001A" w14:textId="3D9D1445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color w:val="000000" w:themeColor="text1" w:themeTint="FF" w:themeShade="FF"/>
          <w:lang w:val="hr-HR"/>
        </w:rPr>
        <w:t xml:space="preserve"> Povijest 5. </w:t>
      </w:r>
      <w:r w:rsidRPr="348B1361" w:rsidR="00DD7665">
        <w:rPr>
          <w:color w:val="000000" w:themeColor="text1" w:themeTint="FF" w:themeShade="FF"/>
          <w:lang w:val="hr-HR"/>
        </w:rPr>
        <w:t xml:space="preserve">razred osnovne škole - </w:t>
      </w:r>
      <w:r w:rsidRPr="348B1361" w:rsidR="00DD7665">
        <w:rPr>
          <w:lang w:val="hr-HR"/>
        </w:rPr>
        <w:t>1 izvršitelj</w:t>
      </w:r>
    </w:p>
    <w:p w:rsidR="00599810" w:rsidP="348B1361" w:rsidRDefault="00599810" w14:paraId="05509A0F" w14:textId="16FFC864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lang w:val="hr-HR"/>
        </w:rPr>
      </w:pPr>
      <w:r w:rsidRPr="348B1361" w:rsidR="00599810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599810">
        <w:rPr>
          <w:color w:val="000000" w:themeColor="text1" w:themeTint="FF" w:themeShade="FF"/>
          <w:lang w:val="hr-HR"/>
        </w:rPr>
        <w:t xml:space="preserve"> Povijest 6. razred osnovne škole - </w:t>
      </w:r>
      <w:r w:rsidRPr="348B1361" w:rsidR="00599810">
        <w:rPr>
          <w:lang w:val="hr-HR"/>
        </w:rPr>
        <w:t>1 izvršitelj</w:t>
      </w:r>
    </w:p>
    <w:p w:rsidR="00599810" w:rsidP="348B1361" w:rsidRDefault="00599810" w14:paraId="6F67CA1D" w14:textId="1F6364D2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00599810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599810">
        <w:rPr>
          <w:color w:val="000000" w:themeColor="text1" w:themeTint="FF" w:themeShade="FF"/>
          <w:lang w:val="hr-HR"/>
        </w:rPr>
        <w:t xml:space="preserve"> </w:t>
      </w:r>
      <w:r w:rsidRPr="348B1361" w:rsidR="00599810">
        <w:rPr>
          <w:lang w:val="hr-HR"/>
        </w:rPr>
        <w:t>Povijest 7. razred osnovne škole - 1 izvršitelj</w:t>
      </w:r>
    </w:p>
    <w:p w:rsidR="005657BC" w:rsidP="2E04E4F5" w:rsidRDefault="00DD7665" w14:paraId="0000001C" w14:textId="6CCE786E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color w:val="000000" w:themeColor="text1" w:themeTint="FF" w:themeShade="FF"/>
          <w:lang w:val="hr-HR"/>
        </w:rPr>
        <w:t xml:space="preserve"> </w:t>
      </w:r>
      <w:r w:rsidRPr="348B1361" w:rsidR="00DD7665">
        <w:rPr>
          <w:lang w:val="hr-HR"/>
        </w:rPr>
        <w:t xml:space="preserve">Povijest </w:t>
      </w:r>
      <w:r w:rsidRPr="348B1361" w:rsidR="43A5FE68">
        <w:rPr>
          <w:lang w:val="hr-HR"/>
        </w:rPr>
        <w:t>8.</w:t>
      </w:r>
      <w:r w:rsidRPr="348B1361" w:rsidR="00DD7665">
        <w:rPr>
          <w:lang w:val="hr-HR"/>
        </w:rPr>
        <w:t xml:space="preserve"> razred osnovne škole - 1 izvršitelj</w:t>
      </w:r>
    </w:p>
    <w:p w:rsidR="005657BC" w:rsidP="348B1361" w:rsidRDefault="00DD7665" w14:paraId="0000001E" w14:textId="5C46E627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color w:val="000000" w:themeColor="text1" w:themeTint="FF" w:themeShade="FF"/>
          <w:lang w:val="hr-HR"/>
        </w:rPr>
        <w:t xml:space="preserve"> Povijest 1.</w:t>
      </w:r>
      <w:r w:rsidRPr="348B1361" w:rsidR="00DD7665">
        <w:rPr>
          <w:color w:val="000000" w:themeColor="text1" w:themeTint="FF" w:themeShade="FF"/>
          <w:lang w:val="hr-HR"/>
        </w:rPr>
        <w:t xml:space="preserve"> razred gimnazije </w:t>
      </w:r>
      <w:r w:rsidRPr="348B1361" w:rsidR="00DD7665">
        <w:rPr>
          <w:lang w:val="hr-HR"/>
        </w:rPr>
        <w:t>- 1 izvršitelj</w:t>
      </w:r>
    </w:p>
    <w:p w:rsidR="3FDAD43D" w:rsidP="348B1361" w:rsidRDefault="3FDAD43D" w14:paraId="462F2737" w14:textId="325BFCD3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lang w:val="hr-HR"/>
        </w:rPr>
      </w:pPr>
      <w:r w:rsidRPr="348B1361" w:rsidR="3FDAD43D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3FDAD43D">
        <w:rPr>
          <w:color w:val="000000" w:themeColor="text1" w:themeTint="FF" w:themeShade="FF"/>
          <w:lang w:val="hr-HR"/>
        </w:rPr>
        <w:t xml:space="preserve"> Povijest 2. razred gimnazije </w:t>
      </w:r>
      <w:r w:rsidRPr="348B1361" w:rsidR="3FDAD43D">
        <w:rPr>
          <w:lang w:val="hr-HR"/>
        </w:rPr>
        <w:t>- 1 izvršitelj</w:t>
      </w:r>
    </w:p>
    <w:p w:rsidR="3FDAD43D" w:rsidP="348B1361" w:rsidRDefault="3FDAD43D" w14:paraId="1CC865CF" w14:textId="0E7847BE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3FDAD43D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3FDAD43D">
        <w:rPr>
          <w:color w:val="000000" w:themeColor="text1" w:themeTint="FF" w:themeShade="FF"/>
          <w:lang w:val="hr-HR"/>
        </w:rPr>
        <w:t xml:space="preserve"> </w:t>
      </w:r>
      <w:r w:rsidRPr="348B1361" w:rsidR="3FDAD43D">
        <w:rPr>
          <w:lang w:val="hr-HR"/>
        </w:rPr>
        <w:t>Povijest 3. razred gimnazije - 1 izvršitelj</w:t>
      </w:r>
    </w:p>
    <w:p w:rsidR="005657BC" w:rsidP="2E04E4F5" w:rsidRDefault="00DD7665" w14:paraId="00000020" w14:textId="053CEADF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color w:val="000000" w:themeColor="text1" w:themeTint="FF" w:themeShade="FF"/>
          <w:lang w:val="hr-HR"/>
        </w:rPr>
        <w:t xml:space="preserve"> </w:t>
      </w:r>
      <w:r w:rsidRPr="348B1361" w:rsidR="00DD7665">
        <w:rPr>
          <w:lang w:val="hr-HR"/>
        </w:rPr>
        <w:t xml:space="preserve">Povijest </w:t>
      </w:r>
      <w:r w:rsidRPr="348B1361" w:rsidR="0F066961">
        <w:rPr>
          <w:lang w:val="hr-HR"/>
        </w:rPr>
        <w:t>4.</w:t>
      </w:r>
      <w:r w:rsidRPr="348B1361" w:rsidR="00DD7665">
        <w:rPr>
          <w:lang w:val="hr-HR"/>
        </w:rPr>
        <w:t xml:space="preserve"> razred gimnazije - 1 izvršitelj</w:t>
      </w:r>
    </w:p>
    <w:p w:rsidR="005657BC" w:rsidP="348B1361" w:rsidRDefault="00DD7665" w14:paraId="00000022" w14:textId="683B32D4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color w:val="000000" w:themeColor="text1" w:themeTint="FF" w:themeShade="FF"/>
          <w:lang w:val="hr-HR"/>
        </w:rPr>
        <w:t xml:space="preserve"> </w:t>
      </w:r>
      <w:r w:rsidRPr="348B1361" w:rsidR="00DD7665">
        <w:rPr>
          <w:lang w:val="hr-HR"/>
        </w:rPr>
        <w:t xml:space="preserve">Geografija </w:t>
      </w:r>
      <w:r w:rsidRPr="348B1361" w:rsidR="00DD7665">
        <w:rPr>
          <w:color w:val="000000" w:themeColor="text1" w:themeTint="FF" w:themeShade="FF"/>
          <w:lang w:val="hr-HR"/>
        </w:rPr>
        <w:t>5.</w:t>
      </w:r>
      <w:r w:rsidRPr="348B1361" w:rsidR="5A7AF8BA">
        <w:rPr>
          <w:color w:val="000000" w:themeColor="text1" w:themeTint="FF" w:themeShade="FF"/>
          <w:lang w:val="hr-HR"/>
        </w:rPr>
        <w:t xml:space="preserve"> </w:t>
      </w:r>
      <w:r w:rsidRPr="348B1361" w:rsidR="00DD7665">
        <w:rPr>
          <w:color w:val="000000" w:themeColor="text1" w:themeTint="FF" w:themeShade="FF"/>
          <w:lang w:val="hr-HR"/>
        </w:rPr>
        <w:t xml:space="preserve">razred osnovne škole </w:t>
      </w:r>
      <w:r w:rsidRPr="348B1361" w:rsidR="00DD7665">
        <w:rPr>
          <w:lang w:val="hr-HR"/>
        </w:rPr>
        <w:t>- 1 izvršitelj</w:t>
      </w:r>
    </w:p>
    <w:p w:rsidR="4D8C40D3" w:rsidP="348B1361" w:rsidRDefault="4D8C40D3" w14:paraId="3929A108" w14:textId="0B1EC05A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lang w:val="hr-HR"/>
        </w:rPr>
      </w:pPr>
      <w:r w:rsidRPr="348B1361" w:rsidR="4D8C40D3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4D8C40D3">
        <w:rPr>
          <w:color w:val="000000" w:themeColor="text1" w:themeTint="FF" w:themeShade="FF"/>
          <w:lang w:val="hr-HR"/>
        </w:rPr>
        <w:t xml:space="preserve"> </w:t>
      </w:r>
      <w:r w:rsidRPr="348B1361" w:rsidR="4D8C40D3">
        <w:rPr>
          <w:lang w:val="hr-HR"/>
        </w:rPr>
        <w:t xml:space="preserve">Geografija </w:t>
      </w:r>
      <w:r w:rsidRPr="348B1361" w:rsidR="4D8C40D3">
        <w:rPr>
          <w:color w:val="000000" w:themeColor="text1" w:themeTint="FF" w:themeShade="FF"/>
          <w:lang w:val="hr-HR"/>
        </w:rPr>
        <w:t xml:space="preserve">6. razred osnovne škole </w:t>
      </w:r>
      <w:r w:rsidRPr="348B1361" w:rsidR="4D8C40D3">
        <w:rPr>
          <w:lang w:val="hr-HR"/>
        </w:rPr>
        <w:t>- 1 izvršitelj</w:t>
      </w:r>
    </w:p>
    <w:p w:rsidR="4D8C40D3" w:rsidP="348B1361" w:rsidRDefault="4D8C40D3" w14:paraId="72AECF5D" w14:textId="1D1C3560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4D8C40D3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4D8C40D3">
        <w:rPr>
          <w:color w:val="000000" w:themeColor="text1" w:themeTint="FF" w:themeShade="FF"/>
          <w:lang w:val="hr-HR"/>
        </w:rPr>
        <w:t xml:space="preserve"> </w:t>
      </w:r>
      <w:r w:rsidRPr="348B1361" w:rsidR="4D8C40D3">
        <w:rPr>
          <w:lang w:val="hr-HR"/>
        </w:rPr>
        <w:t>Geografija 7. razred osnovne škole - 1 izvršitelj</w:t>
      </w:r>
    </w:p>
    <w:p w:rsidR="005657BC" w:rsidP="2E04E4F5" w:rsidRDefault="00DD7665" w14:paraId="00000024" w14:textId="65D62A19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color w:val="000000" w:themeColor="text1" w:themeTint="FF" w:themeShade="FF"/>
          <w:lang w:val="hr-HR"/>
        </w:rPr>
        <w:t xml:space="preserve"> </w:t>
      </w:r>
      <w:r w:rsidRPr="348B1361" w:rsidR="00DD7665">
        <w:rPr>
          <w:lang w:val="hr-HR"/>
        </w:rPr>
        <w:t xml:space="preserve">Geografija </w:t>
      </w:r>
      <w:r w:rsidRPr="348B1361" w:rsidR="5C868166">
        <w:rPr>
          <w:lang w:val="hr-HR"/>
        </w:rPr>
        <w:t>8.</w:t>
      </w:r>
      <w:r w:rsidRPr="348B1361" w:rsidR="00DD7665">
        <w:rPr>
          <w:lang w:val="hr-HR"/>
        </w:rPr>
        <w:t xml:space="preserve"> razred osnovne škole - 1 izvršitelj</w:t>
      </w:r>
    </w:p>
    <w:p w:rsidR="005657BC" w:rsidP="348B1361" w:rsidRDefault="00DD7665" w14:paraId="00000026" w14:textId="0965FD4C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color w:val="000000" w:themeColor="text1" w:themeTint="FF" w:themeShade="FF"/>
          <w:lang w:val="hr-HR"/>
        </w:rPr>
        <w:t xml:space="preserve"> Geografija 1.</w:t>
      </w:r>
      <w:r w:rsidRPr="348B1361" w:rsidR="058494C4">
        <w:rPr>
          <w:color w:val="000000" w:themeColor="text1" w:themeTint="FF" w:themeShade="FF"/>
          <w:lang w:val="hr-HR"/>
        </w:rPr>
        <w:t xml:space="preserve"> </w:t>
      </w:r>
      <w:r w:rsidRPr="348B1361" w:rsidR="00DD7665">
        <w:rPr>
          <w:color w:val="000000" w:themeColor="text1" w:themeTint="FF" w:themeShade="FF"/>
          <w:lang w:val="hr-HR"/>
        </w:rPr>
        <w:t xml:space="preserve">razred gimnazije </w:t>
      </w:r>
      <w:r w:rsidRPr="348B1361" w:rsidR="00DD7665">
        <w:rPr>
          <w:lang w:val="hr-HR"/>
        </w:rPr>
        <w:t>- 1 izvršitelj</w:t>
      </w:r>
    </w:p>
    <w:p w:rsidR="258595CF" w:rsidP="348B1361" w:rsidRDefault="258595CF" w14:paraId="401302D2" w14:textId="0C829A41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lang w:val="hr-HR"/>
        </w:rPr>
      </w:pPr>
      <w:r w:rsidRPr="348B1361" w:rsidR="258595CF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258595CF">
        <w:rPr>
          <w:color w:val="000000" w:themeColor="text1" w:themeTint="FF" w:themeShade="FF"/>
          <w:lang w:val="hr-HR"/>
        </w:rPr>
        <w:t xml:space="preserve"> Geografija 2. razred gimnazije </w:t>
      </w:r>
      <w:r w:rsidRPr="348B1361" w:rsidR="258595CF">
        <w:rPr>
          <w:lang w:val="hr-HR"/>
        </w:rPr>
        <w:t>- 1 izvršitelj</w:t>
      </w:r>
    </w:p>
    <w:p w:rsidR="005657BC" w:rsidP="2E04E4F5" w:rsidRDefault="00DD7665" w14:paraId="00000028" w14:textId="13D49BA0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color w:val="000000" w:themeColor="text1" w:themeTint="FF" w:themeShade="FF"/>
          <w:lang w:val="hr-HR"/>
        </w:rPr>
        <w:t xml:space="preserve"> </w:t>
      </w:r>
      <w:r w:rsidRPr="348B1361" w:rsidR="00DD7665">
        <w:rPr>
          <w:lang w:val="hr-HR"/>
        </w:rPr>
        <w:t>Geografija 3.</w:t>
      </w:r>
      <w:r w:rsidRPr="348B1361" w:rsidR="74EFAF39">
        <w:rPr>
          <w:lang w:val="hr-HR"/>
        </w:rPr>
        <w:t xml:space="preserve"> </w:t>
      </w:r>
      <w:r w:rsidRPr="348B1361" w:rsidR="00DD7665">
        <w:rPr>
          <w:lang w:val="hr-HR"/>
        </w:rPr>
        <w:t>razred gimnazije - 1 izvršitelj</w:t>
      </w:r>
    </w:p>
    <w:p w:rsidR="4D522E02" w:rsidP="348B1361" w:rsidRDefault="4D522E02" w14:paraId="6DB4AE1E" w14:textId="277BE639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4D522E02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4D522E02">
        <w:rPr>
          <w:color w:val="000000" w:themeColor="text1" w:themeTint="FF" w:themeShade="FF"/>
          <w:lang w:val="hr-HR"/>
        </w:rPr>
        <w:t xml:space="preserve"> </w:t>
      </w:r>
      <w:r w:rsidRPr="348B1361" w:rsidR="4D522E02">
        <w:rPr>
          <w:lang w:val="hr-HR"/>
        </w:rPr>
        <w:t>Geografija 4. razred gimnazije - 1 izvršitelj</w:t>
      </w:r>
    </w:p>
    <w:p w:rsidR="005657BC" w:rsidP="348B1361" w:rsidRDefault="00DD7665" w14:paraId="0000002A" w14:textId="186F0151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color w:val="000000" w:themeColor="text1" w:themeTint="FF" w:themeShade="FF"/>
          <w:lang w:val="hr-HR"/>
        </w:rPr>
        <w:t xml:space="preserve"> Matematika 5.</w:t>
      </w:r>
      <w:r w:rsidRPr="348B1361" w:rsidR="0964B73F">
        <w:rPr>
          <w:color w:val="000000" w:themeColor="text1" w:themeTint="FF" w:themeShade="FF"/>
          <w:lang w:val="hr-HR"/>
        </w:rPr>
        <w:t xml:space="preserve"> </w:t>
      </w:r>
      <w:r w:rsidRPr="348B1361" w:rsidR="00DD7665">
        <w:rPr>
          <w:color w:val="000000" w:themeColor="text1" w:themeTint="FF" w:themeShade="FF"/>
          <w:lang w:val="hr-HR"/>
        </w:rPr>
        <w:t xml:space="preserve">razred osnovne škole </w:t>
      </w:r>
      <w:r w:rsidRPr="348B1361" w:rsidR="00DD7665">
        <w:rPr>
          <w:lang w:val="hr-HR"/>
        </w:rPr>
        <w:t xml:space="preserve">- </w:t>
      </w:r>
      <w:r w:rsidRPr="348B1361" w:rsidR="623C6B2D">
        <w:rPr>
          <w:lang w:val="hr-HR"/>
        </w:rPr>
        <w:t>1 izvršitelj</w:t>
      </w:r>
    </w:p>
    <w:p w:rsidR="61F8DBA1" w:rsidP="348B1361" w:rsidRDefault="61F8DBA1" w14:paraId="3542DDAD" w14:textId="603360D5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lang w:val="hr-HR"/>
        </w:rPr>
      </w:pPr>
      <w:r w:rsidRPr="348B1361" w:rsidR="61F8DBA1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61F8DBA1">
        <w:rPr>
          <w:color w:val="000000" w:themeColor="text1" w:themeTint="FF" w:themeShade="FF"/>
          <w:lang w:val="hr-HR"/>
        </w:rPr>
        <w:t xml:space="preserve"> Matematika 6. razred osnovne škole </w:t>
      </w:r>
      <w:r w:rsidRPr="348B1361" w:rsidR="61F8DBA1">
        <w:rPr>
          <w:lang w:val="hr-HR"/>
        </w:rPr>
        <w:t>- 1 izvršitelj</w:t>
      </w:r>
    </w:p>
    <w:p w:rsidR="005657BC" w:rsidP="2E04E4F5" w:rsidRDefault="00DD7665" w14:paraId="0000002C" w14:textId="66E7E274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color w:val="000000" w:themeColor="text1" w:themeTint="FF" w:themeShade="FF"/>
          <w:lang w:val="hr-HR"/>
        </w:rPr>
        <w:t xml:space="preserve"> </w:t>
      </w:r>
      <w:r w:rsidRPr="348B1361" w:rsidR="00DD7665">
        <w:rPr>
          <w:lang w:val="hr-HR"/>
        </w:rPr>
        <w:t xml:space="preserve">Matematika 7. </w:t>
      </w:r>
      <w:r w:rsidRPr="348B1361" w:rsidR="00DD7665">
        <w:rPr>
          <w:lang w:val="hr-HR"/>
        </w:rPr>
        <w:t xml:space="preserve">razred osnovne škole - </w:t>
      </w:r>
      <w:r w:rsidRPr="348B1361" w:rsidR="17063ACA">
        <w:rPr>
          <w:lang w:val="hr-HR"/>
        </w:rPr>
        <w:t>1 izvršitelj</w:t>
      </w:r>
    </w:p>
    <w:p w:rsidR="16867312" w:rsidP="348B1361" w:rsidRDefault="16867312" w14:paraId="334D8895" w14:textId="6CB614CF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16867312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16867312">
        <w:rPr>
          <w:color w:val="000000" w:themeColor="text1" w:themeTint="FF" w:themeShade="FF"/>
          <w:lang w:val="hr-HR"/>
        </w:rPr>
        <w:t xml:space="preserve"> </w:t>
      </w:r>
      <w:r w:rsidRPr="348B1361" w:rsidR="16867312">
        <w:rPr>
          <w:lang w:val="hr-HR"/>
        </w:rPr>
        <w:t>Matematika 8. razred osnovne škole - 1 izvršitelj</w:t>
      </w:r>
    </w:p>
    <w:p w:rsidR="005657BC" w:rsidP="2E04E4F5" w:rsidRDefault="00DD7665" w14:paraId="0000002F" w14:textId="22741A8E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color w:val="000000" w:themeColor="text1" w:themeTint="FF" w:themeShade="FF"/>
          <w:lang w:val="hr-HR"/>
        </w:rPr>
        <w:t xml:space="preserve"> </w:t>
      </w:r>
      <w:r w:rsidRPr="348B1361" w:rsidR="00DD7665">
        <w:rPr>
          <w:lang w:val="hr-HR"/>
        </w:rPr>
        <w:t>Matematika 1.</w:t>
      </w:r>
      <w:r w:rsidRPr="348B1361" w:rsidR="16ACAB14">
        <w:rPr>
          <w:lang w:val="hr-HR"/>
        </w:rPr>
        <w:t xml:space="preserve"> </w:t>
      </w:r>
      <w:r w:rsidRPr="348B1361" w:rsidR="00DD7665">
        <w:rPr>
          <w:lang w:val="hr-HR"/>
        </w:rPr>
        <w:t xml:space="preserve">razred gimnazije - </w:t>
      </w:r>
      <w:r w:rsidRPr="348B1361" w:rsidR="0BF7EA4E">
        <w:rPr>
          <w:lang w:val="hr-HR"/>
        </w:rPr>
        <w:t>1 izvršitelj</w:t>
      </w:r>
    </w:p>
    <w:p w:rsidR="4DEFEC71" w:rsidP="348B1361" w:rsidRDefault="4DEFEC71" w14:paraId="5D0CA59B" w14:textId="03A8A57F">
      <w:pPr>
        <w:numPr>
          <w:ilvl w:val="0"/>
          <w:numId w:val="1"/>
        </w:numPr>
        <w:spacing w:after="0"/>
        <w:jc w:val="both"/>
        <w:rPr>
          <w:lang w:val="hr-HR"/>
        </w:rPr>
      </w:pPr>
      <w:r w:rsidRPr="348B1361" w:rsidR="4DEFEC71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4DEFEC71">
        <w:rPr>
          <w:color w:val="000000" w:themeColor="text1" w:themeTint="FF" w:themeShade="FF"/>
          <w:lang w:val="hr-HR"/>
        </w:rPr>
        <w:t xml:space="preserve"> </w:t>
      </w:r>
      <w:r w:rsidRPr="348B1361" w:rsidR="4DEFEC71">
        <w:rPr>
          <w:lang w:val="hr-HR"/>
        </w:rPr>
        <w:t>Matematika 2. razred gimnazije - 1 izvršitelj</w:t>
      </w:r>
    </w:p>
    <w:p w:rsidR="00DD7665" w:rsidP="348B1361" w:rsidRDefault="00DD7665" w14:paraId="01EF7F94" w14:textId="582BDC1E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lang w:val="hr-HR"/>
        </w:rPr>
      </w:pPr>
      <w:r w:rsidRPr="348B1361" w:rsidR="00DD7665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00DD7665">
        <w:rPr>
          <w:color w:val="000000" w:themeColor="text1" w:themeTint="FF" w:themeShade="FF"/>
          <w:lang w:val="hr-HR"/>
        </w:rPr>
        <w:t xml:space="preserve"> Matematika 3. </w:t>
      </w:r>
      <w:r w:rsidRPr="348B1361" w:rsidR="00DD7665">
        <w:rPr>
          <w:color w:val="000000" w:themeColor="text1" w:themeTint="FF" w:themeShade="FF"/>
          <w:lang w:val="hr-HR"/>
        </w:rPr>
        <w:t xml:space="preserve">razred gimnazije </w:t>
      </w:r>
      <w:r w:rsidRPr="348B1361" w:rsidR="00DD7665">
        <w:rPr>
          <w:lang w:val="hr-HR"/>
        </w:rPr>
        <w:t xml:space="preserve">- </w:t>
      </w:r>
      <w:r w:rsidRPr="348B1361" w:rsidR="3CD2C8A4">
        <w:rPr>
          <w:lang w:val="hr-HR"/>
        </w:rPr>
        <w:t>1 izvršitelj</w:t>
      </w:r>
    </w:p>
    <w:p w:rsidR="5792C686" w:rsidP="348B1361" w:rsidRDefault="5792C686" w14:paraId="438DD8A5" w14:textId="089C655B">
      <w:pPr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/>
        <w:jc w:val="both"/>
        <w:rPr>
          <w:lang w:val="hr-HR"/>
        </w:rPr>
      </w:pPr>
      <w:r w:rsidRPr="348B1361" w:rsidR="5792C686">
        <w:rPr>
          <w:b w:val="1"/>
          <w:bCs w:val="1"/>
          <w:color w:val="000000" w:themeColor="text1" w:themeTint="FF" w:themeShade="FF"/>
          <w:lang w:val="hr-HR"/>
        </w:rPr>
        <w:t>Recenzent za stručnu i znanstvenu utemeljenost i primjenu metodičkih principa iz nastavnog predmeta</w:t>
      </w:r>
      <w:r w:rsidRPr="348B1361" w:rsidR="5792C686">
        <w:rPr>
          <w:color w:val="000000" w:themeColor="text1" w:themeTint="FF" w:themeShade="FF"/>
          <w:lang w:val="hr-HR"/>
        </w:rPr>
        <w:t xml:space="preserve"> Matematika 4. razred gimnazije </w:t>
      </w:r>
      <w:r w:rsidRPr="348B1361" w:rsidR="5792C686">
        <w:rPr>
          <w:lang w:val="hr-HR"/>
        </w:rPr>
        <w:t>- 1 izvršitelj</w:t>
      </w:r>
    </w:p>
    <w:p w:rsidR="005657BC" w:rsidP="348B1361" w:rsidRDefault="00DD7665" w14:paraId="21A7E09F" w14:textId="523967F8">
      <w:pPr>
        <w:pStyle w:val="Heading2"/>
        <w:jc w:val="both"/>
        <w:rPr>
          <w:sz w:val="28"/>
          <w:szCs w:val="28"/>
          <w:lang w:val="hr-HR"/>
        </w:rPr>
      </w:pPr>
    </w:p>
    <w:p w:rsidR="005657BC" w:rsidP="348B1361" w:rsidRDefault="00DD7665" w14:paraId="3F72039A" w14:textId="6AB3E5EE">
      <w:pPr/>
      <w:r>
        <w:br w:type="page"/>
      </w:r>
    </w:p>
    <w:p w:rsidR="005657BC" w:rsidP="2E04E4F5" w:rsidRDefault="00DD7665" w14:paraId="00000034" w14:textId="0F8EE293">
      <w:pPr>
        <w:pStyle w:val="Heading2"/>
        <w:jc w:val="both"/>
        <w:rPr>
          <w:sz w:val="28"/>
          <w:szCs w:val="28"/>
          <w:lang w:val="hr-HR"/>
        </w:rPr>
      </w:pPr>
      <w:r w:rsidRPr="348B1361" w:rsidR="00DD7665">
        <w:rPr>
          <w:sz w:val="28"/>
          <w:szCs w:val="28"/>
          <w:lang w:val="hr-HR"/>
        </w:rPr>
        <w:t>Postupak recenzije</w:t>
      </w:r>
    </w:p>
    <w:p w:rsidR="005657BC" w:rsidP="2E04E4F5" w:rsidRDefault="00DD7665" w14:paraId="00000035" w14:textId="77777777">
      <w:pPr>
        <w:jc w:val="both"/>
        <w:rPr>
          <w:color w:val="FF0000"/>
          <w:lang w:val="hr-HR"/>
        </w:rPr>
      </w:pPr>
      <w:r w:rsidRPr="2E04E4F5" w:rsidR="00DD7665">
        <w:rPr>
          <w:lang w:val="hr-HR"/>
        </w:rPr>
        <w:t xml:space="preserve">Postupak recenzije obuhvaća kontinuirano praćenje izrade predmetnog sadržaja u suradnji s autorom predmetnog sadržaja i usuglašavanje oko sadržaja i/ili njegovih pojedinih dijelova te strukture predmetnog sadržaja. </w:t>
      </w:r>
    </w:p>
    <w:p w:rsidR="005657BC" w:rsidP="2E04E4F5" w:rsidRDefault="00DD7665" w14:paraId="00000036" w14:textId="7A5A2768">
      <w:pPr>
        <w:jc w:val="both"/>
        <w:rPr>
          <w:lang w:val="hr-HR"/>
        </w:rPr>
      </w:pPr>
      <w:r w:rsidRPr="2E04E4F5" w:rsidR="00DD7665">
        <w:rPr>
          <w:lang w:val="hr-HR"/>
        </w:rPr>
        <w:t xml:space="preserve">Prije isporuke cjelovitog predmetnog sadržaja </w:t>
      </w:r>
      <w:r w:rsidRPr="2E04E4F5" w:rsidR="4EDD69B6">
        <w:rPr>
          <w:lang w:val="hr-HR"/>
        </w:rPr>
        <w:t>CARNET-u</w:t>
      </w:r>
      <w:r w:rsidRPr="2E04E4F5" w:rsidR="00DD7665">
        <w:rPr>
          <w:lang w:val="hr-HR"/>
        </w:rPr>
        <w:t>, predmetni stručnjak recenzent treba dati pozitivnu ocjenu na cjeloviti predmetni sadržaj izrađen od strane autora.</w:t>
      </w:r>
    </w:p>
    <w:p w:rsidR="005657BC" w:rsidP="2E04E4F5" w:rsidRDefault="00DD7665" w14:paraId="00000037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Odabrani predmetni stručnjak-recenzent treba osigurati da se sve obveze izvrše u zadanim vremenskim rokovima za provedbu postupka recenzije, što ujedno znači da se od odabranog predmetnog stručnjaka-recenzent očekuje brz, agilan i planski pristup organizaciji rada.</w:t>
      </w:r>
    </w:p>
    <w:p w:rsidR="005657BC" w:rsidP="2E04E4F5" w:rsidRDefault="00DD7665" w14:paraId="00000038" w14:textId="6ED06137">
      <w:pPr>
        <w:jc w:val="both"/>
        <w:rPr>
          <w:lang w:val="hr-HR"/>
        </w:rPr>
      </w:pPr>
      <w:r w:rsidRPr="2E04E4F5" w:rsidR="00DD7665">
        <w:rPr>
          <w:lang w:val="hr-HR"/>
        </w:rPr>
        <w:t xml:space="preserve">Dinamika i vremenski rokovi za provedbu pripadajućeg postupka recenzije će biti naknadno utvrđeni između </w:t>
      </w:r>
      <w:r w:rsidRPr="2E04E4F5" w:rsidR="3C8C26FE">
        <w:rPr>
          <w:lang w:val="hr-HR"/>
        </w:rPr>
        <w:t>CARNET-a</w:t>
      </w:r>
      <w:r w:rsidRPr="2E04E4F5" w:rsidR="00DD7665">
        <w:rPr>
          <w:lang w:val="hr-HR"/>
        </w:rPr>
        <w:t xml:space="preserve"> i </w:t>
      </w:r>
      <w:r w:rsidRPr="2E04E4F5" w:rsidR="39BA6878">
        <w:rPr>
          <w:lang w:val="hr-HR"/>
        </w:rPr>
        <w:t>odabranog</w:t>
      </w:r>
      <w:r w:rsidRPr="2E04E4F5" w:rsidR="00DD7665">
        <w:rPr>
          <w:lang w:val="hr-HR"/>
        </w:rPr>
        <w:t xml:space="preserve"> predmetnog stručnjaka-recenzenta. Detaljne upute za provedbu postupka recenzije će osigurati </w:t>
      </w:r>
      <w:r w:rsidRPr="2E04E4F5" w:rsidR="5DD0083D">
        <w:rPr>
          <w:lang w:val="hr-HR"/>
        </w:rPr>
        <w:t>CARNET</w:t>
      </w:r>
      <w:r w:rsidRPr="2E04E4F5" w:rsidR="00DD7665">
        <w:rPr>
          <w:lang w:val="hr-HR"/>
        </w:rPr>
        <w:t xml:space="preserve"> te će pravovremeno sve premetne stručnjake-recenzente uputiti u način rada koji se od njih očekuje.</w:t>
      </w:r>
    </w:p>
    <w:p w:rsidR="005657BC" w:rsidP="2E04E4F5" w:rsidRDefault="005657BC" w14:paraId="00000039" w14:textId="77777777">
      <w:pPr>
        <w:jc w:val="both"/>
        <w:rPr>
          <w:lang w:val="hr-HR"/>
        </w:rPr>
      </w:pPr>
    </w:p>
    <w:p w:rsidR="005657BC" w:rsidP="2E04E4F5" w:rsidRDefault="00DD7665" w14:paraId="0000003A" w14:textId="77777777">
      <w:pPr>
        <w:pStyle w:val="Heading2"/>
        <w:jc w:val="both"/>
        <w:rPr>
          <w:sz w:val="28"/>
          <w:szCs w:val="28"/>
          <w:lang w:val="hr-HR"/>
        </w:rPr>
      </w:pPr>
      <w:r w:rsidRPr="2E04E4F5" w:rsidR="00DD7665">
        <w:rPr>
          <w:sz w:val="28"/>
          <w:szCs w:val="28"/>
          <w:lang w:val="hr-HR"/>
        </w:rPr>
        <w:t>Komunikacija</w:t>
      </w:r>
    </w:p>
    <w:p w:rsidR="005657BC" w:rsidP="2E04E4F5" w:rsidRDefault="00DD7665" w14:paraId="0000003B" w14:textId="1096C5A9">
      <w:pPr>
        <w:jc w:val="both"/>
        <w:rPr>
          <w:lang w:val="hr-HR"/>
        </w:rPr>
      </w:pPr>
      <w:r w:rsidRPr="2E04E4F5" w:rsidR="00DD7665">
        <w:rPr>
          <w:lang w:val="hr-HR"/>
        </w:rPr>
        <w:t xml:space="preserve">Predmetni stručnjak-recenzent komunicira s osobom koju ovlasti CARNET i s predmetnim stručnjakom-autorom koji izrađuje predmetni sadržaj. Komunikacija se odvija online putem kolaboracijske platforme koju odredi </w:t>
      </w:r>
      <w:r w:rsidRPr="2E04E4F5" w:rsidR="2E7EFFC5">
        <w:rPr>
          <w:lang w:val="hr-HR"/>
        </w:rPr>
        <w:t>CARNET</w:t>
      </w:r>
      <w:r w:rsidRPr="2E04E4F5" w:rsidR="00DD7665">
        <w:rPr>
          <w:lang w:val="hr-HR"/>
        </w:rPr>
        <w:t xml:space="preserve">, na radnim sastancima, telefonski i elektroničkom poštom. Isporuka izrađenih materijala odvijat će se </w:t>
      </w:r>
      <w:r w:rsidRPr="2E04E4F5" w:rsidR="00DD7665">
        <w:rPr>
          <w:lang w:val="hr-HR"/>
        </w:rPr>
        <w:t xml:space="preserve">elektroničkom poštom ili putem kolaboracijskih platformi koje odredi </w:t>
      </w:r>
      <w:r w:rsidRPr="2E04E4F5" w:rsidR="1313848A">
        <w:rPr>
          <w:lang w:val="hr-HR"/>
        </w:rPr>
        <w:t>CARNET</w:t>
      </w:r>
      <w:r w:rsidRPr="2E04E4F5" w:rsidR="00DD7665">
        <w:rPr>
          <w:lang w:val="hr-HR"/>
        </w:rPr>
        <w:t>,</w:t>
      </w:r>
      <w:r w:rsidRPr="2E04E4F5" w:rsidR="75A25433">
        <w:rPr>
          <w:lang w:val="hr-HR"/>
        </w:rPr>
        <w:t xml:space="preserve"> </w:t>
      </w:r>
      <w:r w:rsidRPr="2E04E4F5" w:rsidR="00DD7665">
        <w:rPr>
          <w:lang w:val="hr-HR"/>
        </w:rPr>
        <w:t>u obliku datoteka odgovarajućih formata. Formate datoteka odredit će CARNET.</w:t>
      </w:r>
    </w:p>
    <w:p w:rsidR="005657BC" w:rsidP="2E04E4F5" w:rsidRDefault="005657BC" w14:paraId="0000003C" w14:textId="77777777">
      <w:pPr>
        <w:jc w:val="both"/>
        <w:rPr>
          <w:lang w:val="hr-HR"/>
        </w:rPr>
      </w:pPr>
    </w:p>
    <w:p w:rsidR="005657BC" w:rsidP="2E04E4F5" w:rsidRDefault="00DD7665" w14:paraId="0000003F" w14:textId="77777777">
      <w:pPr>
        <w:pStyle w:val="Heading2"/>
        <w:jc w:val="both"/>
        <w:rPr>
          <w:sz w:val="28"/>
          <w:szCs w:val="28"/>
          <w:lang w:val="hr-HR"/>
        </w:rPr>
      </w:pPr>
      <w:r w:rsidRPr="2E04E4F5" w:rsidR="00DD7665">
        <w:rPr>
          <w:sz w:val="28"/>
          <w:szCs w:val="28"/>
          <w:lang w:val="hr-HR"/>
        </w:rPr>
        <w:t>Naknada</w:t>
      </w:r>
    </w:p>
    <w:p w:rsidR="005657BC" w:rsidP="2E04E4F5" w:rsidRDefault="00DD7665" w14:paraId="00000040" w14:textId="022E8F9A">
      <w:pPr>
        <w:jc w:val="both"/>
        <w:rPr>
          <w:lang w:val="hr-HR"/>
        </w:rPr>
      </w:pPr>
      <w:r w:rsidRPr="348B1361" w:rsidR="00DD7665">
        <w:rPr>
          <w:lang w:val="hr-HR"/>
        </w:rPr>
        <w:t xml:space="preserve">Predmetnom stručnjaku-recenzentu za izvršeno djelo pripada naknada koja se utvrđuje prije potpisivanja ugovora o djelu. </w:t>
      </w:r>
      <w:sdt>
        <w:sdtPr>
          <w:id w:val="1761182215"/>
          <w:tag w:val="goog_rdk_1"/>
          <w:placeholder>
            <w:docPart w:val="DefaultPlaceholder_1081868574"/>
          </w:placeholder>
        </w:sdtPr>
        <w:sdtContent/>
      </w:sdt>
      <w:r w:rsidRPr="348B1361" w:rsidR="00DD7665">
        <w:rPr>
          <w:lang w:val="hr-HR"/>
        </w:rPr>
        <w:t xml:space="preserve">Naknada se dogovara u bruto iznosu, a isplata se utvrđuje u neto iznosu. Naknada se isplaćuje jednokratno, po isporuci </w:t>
      </w:r>
      <w:r w:rsidRPr="348B1361" w:rsidR="00DD7665">
        <w:rPr>
          <w:lang w:val="hr-HR"/>
        </w:rPr>
        <w:t>pozit</w:t>
      </w:r>
      <w:r w:rsidRPr="348B1361" w:rsidR="192F46FC">
        <w:rPr>
          <w:lang w:val="hr-HR"/>
        </w:rPr>
        <w:t>i</w:t>
      </w:r>
      <w:r w:rsidRPr="348B1361" w:rsidR="00DD7665">
        <w:rPr>
          <w:lang w:val="hr-HR"/>
        </w:rPr>
        <w:t>vne</w:t>
      </w:r>
      <w:r w:rsidRPr="348B1361" w:rsidR="00DD7665">
        <w:rPr>
          <w:lang w:val="hr-HR"/>
        </w:rPr>
        <w:t xml:space="preserve"> recenzije predmetnog sadržaja, a dinamiku isporuke nadopune sadržaja DOS-a utvrđuju predmetni stručnjak-recenzent i odgovorna osoba koju imenuje CARNET, ugovorom. </w:t>
      </w:r>
    </w:p>
    <w:p w:rsidR="005657BC" w:rsidP="2E04E4F5" w:rsidRDefault="005657BC" w14:paraId="00000041" w14:textId="77777777">
      <w:pPr>
        <w:jc w:val="both"/>
        <w:rPr>
          <w:lang w:val="hr-HR"/>
        </w:rPr>
      </w:pPr>
    </w:p>
    <w:p w:rsidR="005657BC" w:rsidP="2E04E4F5" w:rsidRDefault="00DD7665" w14:paraId="00000042" w14:textId="77777777">
      <w:pPr>
        <w:pStyle w:val="Heading2"/>
        <w:jc w:val="both"/>
        <w:rPr>
          <w:sz w:val="28"/>
          <w:szCs w:val="28"/>
          <w:lang w:val="hr-HR"/>
        </w:rPr>
      </w:pPr>
      <w:r w:rsidRPr="2E04E4F5" w:rsidR="00DD7665">
        <w:rPr>
          <w:sz w:val="28"/>
          <w:szCs w:val="28"/>
          <w:lang w:val="hr-HR"/>
        </w:rPr>
        <w:t>Kriteriji odabira predmetnog stručnjaka-recenzenta</w:t>
      </w:r>
    </w:p>
    <w:p w:rsidR="005657BC" w:rsidP="2E04E4F5" w:rsidRDefault="00DD7665" w14:paraId="00000043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Predmetni stručnjak-recenzent odabire se prema unaprijed utvrđenim kriterijima te se boduju prema unaprijed određenim bodovima za svaki kriterij. Nakon utvrđivanja rang liste predmetnih stručnjaka-recenzenata, sklapa se ugovor s predmetnim stručnjakom s najvećim brojem bodova.</w:t>
      </w:r>
    </w:p>
    <w:p w:rsidR="005657BC" w:rsidP="27F9B872" w:rsidRDefault="00DD7665" w14:paraId="00000044" w14:textId="77777777">
      <w:pPr>
        <w:jc w:val="both"/>
        <w:rPr>
          <w:lang w:val="hr-HR"/>
        </w:rPr>
      </w:pPr>
      <w:r w:rsidRPr="27F9B872">
        <w:rPr>
          <w:lang w:val="hr-HR"/>
        </w:rPr>
        <w:t>Minimalni uvjet za prijavu kandidata i kandidatkinja za predmetnog stručnjaka-recenzenta jest završen sveučilišni diplomski studij predmetnog područja ili integrirani prijediplomski i diplomski studij predmetnog područja, odnosno svi ekvivalenti, ili završeni studij koji omogućava rad na radnom mjestu učitelja, odnosno nastavnika određenog predmeta za koji se pojedinac prijavljuje, a sukladno trenutno važećim pravilnicima - Pravilniku o odgovarajućoj vrsti obrazovanja učitelja i stručnih suradnika u osnovnoj školi (NN 6/2019) i Pravilniku o stručnoj spremi i pedagoško-psihološkom obrazovanju nastavnika u srednjem školstvu (NN 1/1996) i Pravilniku o izmjenama i dopunama Pravilnika o stručnoj spremi i pedagoško-psihološkom obrazovanju nastavnika u srednjem školstvu (NN 80/1999).</w:t>
      </w:r>
    </w:p>
    <w:p w:rsidR="005657BC" w:rsidP="2E04E4F5" w:rsidRDefault="00DD7665" w14:paraId="00000045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U svrhu dokazivanja minimalnih uvjeta iz ovog Poziva kandidati/tkinje moraju dostaviti presliku diplome radi utvrđivanja zadovoljavanja minimalnih uvjeta.</w:t>
      </w:r>
    </w:p>
    <w:p w:rsidR="005657BC" w:rsidP="348B1361" w:rsidRDefault="00DD7665" w14:paraId="00000046" w14:textId="46CDB7EB">
      <w:pPr>
        <w:jc w:val="both"/>
        <w:rPr>
          <w:rFonts w:ascii="Aptos" w:hAnsi="Aptos" w:eastAsia="Aptos" w:cs="Aptos" w:asciiTheme="minorAscii" w:hAnsiTheme="minorAscii" w:eastAsiaTheme="minorAscii" w:cstheme="minorAscii"/>
          <w:highlight w:val="white"/>
          <w:lang w:val="hr-HR"/>
        </w:rPr>
      </w:pPr>
      <w:r w:rsidRPr="709E7611" w:rsidR="00DD7665">
        <w:rPr>
          <w:rFonts w:ascii="Aptos" w:hAnsi="Aptos" w:eastAsia="Aptos" w:cs="Aptos" w:asciiTheme="minorAscii" w:hAnsiTheme="minorAscii" w:eastAsiaTheme="minorAscii" w:cstheme="minorAscii"/>
          <w:highlight w:val="white"/>
          <w:lang w:val="hr-HR"/>
        </w:rPr>
        <w:t>Specifično iskustvo predmetnog stručnjaka, u prijavi se dokazuje dostavom podataka potrebnih za primjenu kriterija bodovanja p</w:t>
      </w:r>
      <w:r w:rsidRPr="709E7611" w:rsidR="00DD7665">
        <w:rPr>
          <w:rFonts w:ascii="Aptos" w:hAnsi="Aptos" w:eastAsia="Aptos" w:cs="Aptos" w:asciiTheme="minorAscii" w:hAnsiTheme="minorAscii" w:eastAsiaTheme="minorAscii" w:cstheme="minorAscii"/>
          <w:highlight w:val="white"/>
          <w:lang w:val="hr-HR"/>
        </w:rPr>
        <w:t xml:space="preserve">rikazanih u tablici Bodovanje  – Specifično iskustvo predmetnog stručnjaka-recenzenta, radi mogućnosti sudjelovanja u kriteriju </w:t>
      </w:r>
      <w:r w:rsidRPr="709E7611" w:rsidR="00DD7665">
        <w:rPr>
          <w:rFonts w:ascii="Aptos" w:hAnsi="Aptos" w:eastAsia="Aptos" w:cs="Aptos" w:asciiTheme="minorAscii" w:hAnsiTheme="minorAscii" w:eastAsiaTheme="minorAscii" w:cstheme="minorAscii"/>
          <w:highlight w:val="white"/>
          <w:lang w:val="hr-HR"/>
        </w:rPr>
        <w:t xml:space="preserve">bodovanja. Podaci koji su </w:t>
      </w:r>
      <w:r w:rsidRPr="709E7611" w:rsidR="00DD7665">
        <w:rPr>
          <w:rFonts w:ascii="Aptos" w:hAnsi="Aptos" w:eastAsia="Aptos" w:cs="Aptos" w:asciiTheme="minorAscii" w:hAnsiTheme="minorAscii" w:eastAsiaTheme="minorAscii" w:cstheme="minorAscii"/>
          <w:highlight w:val="white"/>
          <w:lang w:val="hr-HR"/>
        </w:rPr>
        <w:t>potrebni</w:t>
      </w:r>
      <w:r w:rsidRPr="709E7611" w:rsidR="02671029">
        <w:rPr>
          <w:rFonts w:ascii="Aptos" w:hAnsi="Aptos" w:eastAsia="Aptos" w:cs="Aptos" w:asciiTheme="minorAscii" w:hAnsiTheme="minorAscii" w:eastAsiaTheme="minorAscii" w:cstheme="minorAscii"/>
          <w:highlight w:val="white"/>
          <w:lang w:val="hr-HR"/>
        </w:rPr>
        <w:t xml:space="preserve"> </w:t>
      </w:r>
      <w:r w:rsidRPr="709E7611" w:rsidR="74B0596A">
        <w:rPr>
          <w:rFonts w:ascii="Aptos" w:hAnsi="Aptos" w:eastAsia="Aptos" w:cs="Aptos" w:asciiTheme="minorAscii" w:hAnsiTheme="minorAscii" w:eastAsiaTheme="minorAscii" w:cstheme="minorAscii"/>
          <w:highlight w:val="white"/>
          <w:lang w:val="hr-HR"/>
        </w:rPr>
        <w:t>CARNET</w:t>
      </w:r>
      <w:r w:rsidRPr="709E7611" w:rsidR="74B0596A">
        <w:rPr>
          <w:rFonts w:ascii="Aptos" w:hAnsi="Aptos" w:eastAsia="Aptos" w:cs="Aptos" w:asciiTheme="minorAscii" w:hAnsiTheme="minorAscii" w:eastAsiaTheme="minorAscii" w:cstheme="minorAscii"/>
          <w:highlight w:val="white"/>
          <w:lang w:val="hr-HR"/>
        </w:rPr>
        <w:t>-u</w:t>
      </w:r>
      <w:r w:rsidRPr="709E7611" w:rsidR="00DD7665">
        <w:rPr>
          <w:rFonts w:ascii="Aptos" w:hAnsi="Aptos" w:eastAsia="Aptos" w:cs="Aptos" w:asciiTheme="minorAscii" w:hAnsiTheme="minorAscii" w:eastAsiaTheme="minorAscii" w:cstheme="minorAscii"/>
          <w:highlight w:val="white"/>
          <w:lang w:val="hr-HR"/>
        </w:rPr>
        <w:t xml:space="preserve">, navedeni su u Prilogu 1 - Predložak životopisa. Forma obrasca nije obvezna, ali njegov sadržaj je. </w:t>
      </w:r>
    </w:p>
    <w:p w:rsidR="005657BC" w:rsidP="2E04E4F5" w:rsidRDefault="00DD7665" w14:paraId="00000047" w14:textId="144D398A">
      <w:pPr>
        <w:jc w:val="both"/>
        <w:rPr>
          <w:rFonts w:ascii="Arial" w:hAnsi="Arial" w:eastAsia="Arial" w:cs="Arial"/>
          <w:b w:val="1"/>
          <w:bCs w:val="1"/>
          <w:highlight w:val="white"/>
          <w:lang w:val="hr-HR"/>
        </w:rPr>
      </w:pPr>
      <w:r w:rsidRPr="2E04E4F5" w:rsidR="00DD7665">
        <w:rPr>
          <w:rFonts w:ascii="Arial" w:hAnsi="Arial" w:eastAsia="Arial" w:cs="Arial"/>
          <w:b w:val="1"/>
          <w:bCs w:val="1"/>
          <w:highlight w:val="white"/>
          <w:lang w:val="hr-HR"/>
        </w:rPr>
        <w:t>Bodovanje  – Specifično iskustvo predmetnog stručnjaka-recenzenta</w:t>
      </w:r>
    </w:p>
    <w:p w:rsidR="005657BC" w:rsidP="2E04E4F5" w:rsidRDefault="00DD7665" w14:paraId="00000048" w14:textId="2E4DB268">
      <w:pPr>
        <w:jc w:val="both"/>
        <w:rPr>
          <w:lang w:val="hr-HR"/>
        </w:rPr>
      </w:pPr>
      <w:r w:rsidRPr="348B1361" w:rsidR="00DD7665">
        <w:rPr>
          <w:lang w:val="hr-HR"/>
        </w:rPr>
        <w:t>Za predmetne stručnjake pod brojem 1, 2,</w:t>
      </w:r>
      <w:r w:rsidRPr="348B1361" w:rsidR="67D36099">
        <w:rPr>
          <w:lang w:val="hr-HR"/>
        </w:rPr>
        <w:t xml:space="preserve"> 3, 4, 9, 10, 11, 12, 17, 18, 19, 20, 25, 26, 27, 28</w:t>
      </w:r>
      <w:r w:rsidRPr="348B1361" w:rsidR="00DD7665">
        <w:rPr>
          <w:lang w:val="hr-HR"/>
        </w:rPr>
        <w:t xml:space="preserve"> kriteriji su sljedeći:</w:t>
      </w:r>
    </w:p>
    <w:p w:rsidR="005657BC" w:rsidP="2E04E4F5" w:rsidRDefault="005657BC" w14:paraId="00000049" w14:textId="77777777">
      <w:pPr>
        <w:jc w:val="both"/>
        <w:rPr>
          <w:lang w:val="hr-HR"/>
        </w:rPr>
      </w:pPr>
    </w:p>
    <w:tbl>
      <w:tblPr>
        <w:tblStyle w:val="a2"/>
        <w:tblpPr w:leftFromText="180" w:rightFromText="180" w:topFromText="180" w:bottomFromText="180" w:vertAnchor="text" w:tblpX="-225"/>
        <w:tblW w:w="95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70"/>
        <w:gridCol w:w="3420"/>
        <w:gridCol w:w="1620"/>
        <w:gridCol w:w="1815"/>
        <w:gridCol w:w="1815"/>
      </w:tblGrid>
      <w:tr w:rsidR="005657BC" w:rsidTr="2E04E4F5" w14:paraId="7925A6A8" w14:textId="77777777">
        <w:trPr>
          <w:trHeight w:val="240"/>
        </w:trPr>
        <w:tc>
          <w:tcPr>
            <w:tcW w:w="87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4A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b w:val="1"/>
                <w:bCs w:val="1"/>
                <w:lang w:val="hr-HR"/>
              </w:rPr>
              <w:t xml:space="preserve">R.br. </w:t>
            </w:r>
            <w:r w:rsidRPr="2E04E4F5" w:rsidR="00DD7665">
              <w:rPr>
                <w:rFonts w:ascii="Arial" w:hAnsi="Arial" w:eastAsia="Arial" w:cs="Arial"/>
                <w:lang w:val="hr-HR"/>
              </w:rPr>
              <w:t xml:space="preserve"> </w:t>
            </w:r>
          </w:p>
        </w:tc>
        <w:tc>
          <w:tcPr>
            <w:tcW w:w="34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4B" w14:textId="77777777">
            <w:pPr>
              <w:ind w:left="100"/>
              <w:jc w:val="both"/>
              <w:rPr>
                <w:rFonts w:ascii="Arial" w:hAnsi="Arial" w:eastAsia="Arial" w:cs="Arial"/>
                <w:highlight w:val="white"/>
                <w:lang w:val="hr-HR"/>
              </w:rPr>
            </w:pPr>
            <w:r w:rsidRPr="2E04E4F5" w:rsidR="00DD7665">
              <w:rPr>
                <w:rFonts w:ascii="Arial" w:hAnsi="Arial" w:eastAsia="Arial" w:cs="Arial"/>
                <w:b w:val="1"/>
                <w:bCs w:val="1"/>
                <w:lang w:val="hr-HR"/>
              </w:rPr>
              <w:t xml:space="preserve">Ključni stručnjaci ponuditelja </w:t>
            </w:r>
            <w:r w:rsidRPr="2E04E4F5" w:rsidR="00DD7665">
              <w:rPr>
                <w:rFonts w:ascii="Arial" w:hAnsi="Arial" w:eastAsia="Arial" w:cs="Arial"/>
                <w:highlight w:val="white"/>
                <w:lang w:val="hr-HR"/>
              </w:rPr>
              <w:t xml:space="preserve"> </w:t>
            </w:r>
          </w:p>
        </w:tc>
        <w:tc>
          <w:tcPr>
            <w:tcW w:w="162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4C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b w:val="1"/>
                <w:bCs w:val="1"/>
                <w:lang w:val="hr-HR"/>
              </w:rPr>
              <w:t>Broj/</w:t>
            </w:r>
            <w:r w:rsidRPr="2E04E4F5" w:rsidR="00DD7665">
              <w:rPr>
                <w:rFonts w:ascii="Arial" w:hAnsi="Arial" w:eastAsia="Arial" w:cs="Arial"/>
                <w:lang w:val="hr-HR"/>
              </w:rPr>
              <w:t xml:space="preserve"> </w:t>
            </w:r>
          </w:p>
          <w:p w:rsidR="005657BC" w:rsidP="2E04E4F5" w:rsidRDefault="00DD7665" w14:paraId="0000004D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b w:val="1"/>
                <w:bCs w:val="1"/>
                <w:lang w:val="hr-HR"/>
              </w:rPr>
              <w:t>Količina</w:t>
            </w:r>
            <w:r w:rsidRPr="2E04E4F5" w:rsidR="00DD7665">
              <w:rPr>
                <w:rFonts w:ascii="Arial" w:hAnsi="Arial" w:eastAsia="Arial" w:cs="Arial"/>
                <w:lang w:val="hr-HR"/>
              </w:rPr>
              <w:t xml:space="preserve"> </w:t>
            </w:r>
          </w:p>
        </w:tc>
        <w:tc>
          <w:tcPr>
            <w:tcW w:w="18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4E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b w:val="1"/>
                <w:bCs w:val="1"/>
                <w:lang w:val="hr-HR"/>
              </w:rPr>
              <w:t xml:space="preserve">Bodovi </w:t>
            </w:r>
            <w:r w:rsidRPr="2E04E4F5" w:rsidR="00DD7665">
              <w:rPr>
                <w:rFonts w:ascii="Arial" w:hAnsi="Arial" w:eastAsia="Arial" w:cs="Arial"/>
                <w:lang w:val="hr-HR"/>
              </w:rPr>
              <w:t xml:space="preserve"> </w:t>
            </w:r>
          </w:p>
        </w:tc>
        <w:tc>
          <w:tcPr>
            <w:tcW w:w="18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4F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b w:val="1"/>
                <w:bCs w:val="1"/>
                <w:lang w:val="hr-HR"/>
              </w:rPr>
              <w:t xml:space="preserve">Ukupno </w:t>
            </w:r>
            <w:r w:rsidRPr="2E04E4F5" w:rsidR="00DD7665">
              <w:rPr>
                <w:rFonts w:ascii="Arial" w:hAnsi="Arial" w:eastAsia="Arial" w:cs="Arial"/>
                <w:lang w:val="hr-HR"/>
              </w:rPr>
              <w:t xml:space="preserve"> </w:t>
            </w:r>
          </w:p>
        </w:tc>
      </w:tr>
      <w:tr w:rsidR="005657BC" w:rsidTr="2E04E4F5" w14:paraId="3477770A" w14:textId="77777777">
        <w:trPr>
          <w:trHeight w:val="240"/>
        </w:trPr>
        <w:tc>
          <w:tcPr>
            <w:tcW w:w="870" w:type="dxa"/>
            <w:vMerge w:val="restart"/>
            <w:tcBorders>
              <w:top w:val="single" w:color="000000" w:themeColor="text1" w:sz="6" w:space="0"/>
            </w:tcBorders>
            <w:tcMar/>
          </w:tcPr>
          <w:p w:rsidR="005657BC" w:rsidP="2E04E4F5" w:rsidRDefault="00DD7665" w14:paraId="00000050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>1.</w:t>
            </w:r>
          </w:p>
        </w:tc>
        <w:tc>
          <w:tcPr>
            <w:tcW w:w="3420" w:type="dxa"/>
            <w:vMerge w:val="restart"/>
            <w:tcBorders>
              <w:top w:val="single" w:color="000000" w:themeColor="text1" w:sz="6" w:space="0"/>
              <w:right w:val="nil"/>
            </w:tcBorders>
            <w:tcMar/>
          </w:tcPr>
          <w:p w:rsidR="005657BC" w:rsidP="2E04E4F5" w:rsidRDefault="00DD7665" w14:paraId="00000051" w14:textId="77777777">
            <w:pPr>
              <w:jc w:val="both"/>
              <w:rPr>
                <w:rFonts w:ascii="Arial" w:hAnsi="Arial" w:eastAsia="Arial" w:cs="Arial"/>
                <w:b w:val="1"/>
                <w:bCs w:val="1"/>
                <w:highlight w:val="white"/>
                <w:u w:val="single"/>
                <w:lang w:val="hr-HR"/>
              </w:rPr>
            </w:pPr>
            <w:r w:rsidRPr="2E04E4F5" w:rsidR="00DD7665">
              <w:rPr>
                <w:rFonts w:ascii="Arial" w:hAnsi="Arial" w:eastAsia="Arial" w:cs="Arial"/>
                <w:highlight w:val="white"/>
                <w:lang w:val="hr-HR"/>
              </w:rPr>
              <w:t xml:space="preserve">Broj godina iskustva u održavanju nastave iz </w:t>
            </w:r>
            <w:r w:rsidRPr="2E04E4F5" w:rsidR="00DD7665">
              <w:rPr>
                <w:rFonts w:ascii="Arial" w:hAnsi="Arial" w:eastAsia="Arial" w:cs="Arial"/>
                <w:b w:val="1"/>
                <w:bCs w:val="1"/>
                <w:highlight w:val="white"/>
                <w:u w:val="single"/>
                <w:lang w:val="hr-HR"/>
              </w:rPr>
              <w:t>nastavnog predmeta x u osnovnoj školi</w:t>
            </w:r>
          </w:p>
        </w:tc>
        <w:tc>
          <w:tcPr>
            <w:tcW w:w="1620" w:type="dxa"/>
            <w:tcBorders>
              <w:top w:val="single" w:color="000000" w:themeColor="text1" w:sz="6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52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lang w:val="hr-HR"/>
              </w:rPr>
              <w:t xml:space="preserve">1-2 </w:t>
            </w:r>
          </w:p>
        </w:tc>
        <w:tc>
          <w:tcPr>
            <w:tcW w:w="181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53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lang w:val="hr-HR"/>
              </w:rPr>
              <w:t>1 bod</w:t>
            </w:r>
          </w:p>
        </w:tc>
        <w:tc>
          <w:tcPr>
            <w:tcW w:w="1815" w:type="dxa"/>
            <w:vMerge w:val="restart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0" w:type="dxa"/>
              <w:right w:w="0" w:type="dxa"/>
            </w:tcMar>
            <w:vAlign w:val="center"/>
          </w:tcPr>
          <w:p w:rsidR="005657BC" w:rsidP="2E04E4F5" w:rsidRDefault="005657BC" w14:paraId="00000054" w14:textId="77777777">
            <w:pPr>
              <w:jc w:val="both"/>
              <w:rPr>
                <w:rFonts w:ascii="Arial" w:hAnsi="Arial" w:eastAsia="Arial" w:cs="Arial"/>
                <w:lang w:val="hr-HR"/>
              </w:rPr>
            </w:pPr>
          </w:p>
          <w:p w:rsidR="005657BC" w:rsidP="2E04E4F5" w:rsidRDefault="005657BC" w14:paraId="00000055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</w:p>
          <w:p w:rsidR="005657BC" w:rsidP="2E04E4F5" w:rsidRDefault="00DD7665" w14:paraId="00000056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lang w:val="hr-HR"/>
              </w:rPr>
              <w:t>9 bodova</w:t>
            </w:r>
          </w:p>
        </w:tc>
      </w:tr>
      <w:tr w:rsidR="005657BC" w:rsidTr="2E04E4F5" w14:paraId="661E85C9" w14:textId="77777777">
        <w:trPr>
          <w:trHeight w:val="240"/>
        </w:trPr>
        <w:tc>
          <w:tcPr>
            <w:tcW w:w="870" w:type="dxa"/>
            <w:vMerge/>
            <w:tcMar/>
          </w:tcPr>
          <w:p w:rsidR="005657BC" w:rsidRDefault="005657BC" w14:paraId="0000005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3420" w:type="dxa"/>
            <w:vMerge/>
            <w:tcMar/>
          </w:tcPr>
          <w:p w:rsidR="005657BC" w:rsidRDefault="005657BC" w14:paraId="0000005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162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59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lang w:val="hr-HR"/>
              </w:rPr>
              <w:t xml:space="preserve">3-4 </w:t>
            </w:r>
          </w:p>
        </w:tc>
        <w:tc>
          <w:tcPr>
            <w:tcW w:w="1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5A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lang w:val="hr-HR"/>
              </w:rPr>
              <w:t>3 boda</w:t>
            </w:r>
          </w:p>
        </w:tc>
        <w:tc>
          <w:tcPr>
            <w:tcW w:w="1815" w:type="dxa"/>
            <w:vMerge/>
            <w:tcMar>
              <w:left w:w="0" w:type="dxa"/>
              <w:right w:w="0" w:type="dxa"/>
            </w:tcMar>
            <w:vAlign w:val="center"/>
          </w:tcPr>
          <w:p w:rsidR="005657BC" w:rsidRDefault="005657BC" w14:paraId="0000005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  <w:tr w:rsidR="005657BC" w:rsidTr="2E04E4F5" w14:paraId="3BFF50FA" w14:textId="77777777">
        <w:trPr>
          <w:trHeight w:val="240"/>
        </w:trPr>
        <w:tc>
          <w:tcPr>
            <w:tcW w:w="870" w:type="dxa"/>
            <w:vMerge/>
            <w:tcMar/>
          </w:tcPr>
          <w:p w:rsidR="005657BC" w:rsidRDefault="005657BC" w14:paraId="0000005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3420" w:type="dxa"/>
            <w:vMerge/>
            <w:tcMar/>
          </w:tcPr>
          <w:p w:rsidR="005657BC" w:rsidRDefault="005657BC" w14:paraId="0000005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1620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5E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lang w:val="hr-HR"/>
              </w:rPr>
              <w:t xml:space="preserve">5 i više </w:t>
            </w:r>
          </w:p>
        </w:tc>
        <w:tc>
          <w:tcPr>
            <w:tcW w:w="18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5F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lang w:val="hr-HR"/>
              </w:rPr>
              <w:t>5 bodova</w:t>
            </w:r>
          </w:p>
        </w:tc>
        <w:tc>
          <w:tcPr>
            <w:tcW w:w="1815" w:type="dxa"/>
            <w:vMerge/>
            <w:tcMar>
              <w:left w:w="0" w:type="dxa"/>
              <w:right w:w="0" w:type="dxa"/>
            </w:tcMar>
            <w:vAlign w:val="center"/>
          </w:tcPr>
          <w:p w:rsidR="005657BC" w:rsidRDefault="005657BC" w14:paraId="0000006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  <w:tr w:rsidR="005657BC" w:rsidTr="2E04E4F5" w14:paraId="4CD2624F" w14:textId="77777777">
        <w:trPr>
          <w:trHeight w:val="240"/>
        </w:trPr>
        <w:tc>
          <w:tcPr>
            <w:tcW w:w="870" w:type="dxa"/>
            <w:vMerge w:val="restart"/>
            <w:tcMar/>
          </w:tcPr>
          <w:p w:rsidR="005657BC" w:rsidP="2E04E4F5" w:rsidRDefault="00DD7665" w14:paraId="00000061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>2.</w:t>
            </w:r>
          </w:p>
        </w:tc>
        <w:tc>
          <w:tcPr>
            <w:tcW w:w="3420" w:type="dxa"/>
            <w:vMerge w:val="restart"/>
            <w:tcMar/>
          </w:tcPr>
          <w:p w:rsidR="005657BC" w:rsidP="2E04E4F5" w:rsidRDefault="00DD7665" w14:paraId="00000062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 xml:space="preserve">Broj </w:t>
            </w:r>
            <w:r w:rsidRPr="2E04E4F5" w:rsidR="00DD7665">
              <w:rPr>
                <w:b w:val="1"/>
                <w:bCs w:val="1"/>
                <w:lang w:val="hr-HR"/>
              </w:rPr>
              <w:t>obrazovnih materijala*</w:t>
            </w:r>
            <w:r w:rsidRPr="2E04E4F5" w:rsidR="00DD7665">
              <w:rPr>
                <w:lang w:val="hr-HR"/>
              </w:rPr>
              <w:t xml:space="preserve"> na kojima je stručnjak bio autor ili koautor. </w:t>
            </w:r>
          </w:p>
        </w:tc>
        <w:tc>
          <w:tcPr>
            <w:tcW w:w="1620" w:type="dxa"/>
            <w:tcMar/>
          </w:tcPr>
          <w:p w:rsidR="005657BC" w:rsidP="2E04E4F5" w:rsidRDefault="00DD7665" w14:paraId="00000063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 xml:space="preserve">1 – 3 </w:t>
            </w:r>
          </w:p>
        </w:tc>
        <w:tc>
          <w:tcPr>
            <w:tcW w:w="1815" w:type="dxa"/>
            <w:tcMar/>
          </w:tcPr>
          <w:p w:rsidR="005657BC" w:rsidP="2E04E4F5" w:rsidRDefault="00DD7665" w14:paraId="00000064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>1 bod</w:t>
            </w:r>
          </w:p>
        </w:tc>
        <w:tc>
          <w:tcPr>
            <w:tcW w:w="1815" w:type="dxa"/>
            <w:vMerge/>
            <w:tcMar>
              <w:left w:w="0" w:type="dxa"/>
              <w:right w:w="0" w:type="dxa"/>
            </w:tcMar>
            <w:vAlign w:val="center"/>
          </w:tcPr>
          <w:p w:rsidR="005657BC" w:rsidRDefault="005657BC" w14:paraId="0000006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657BC" w:rsidTr="2E04E4F5" w14:paraId="3E124239" w14:textId="77777777">
        <w:trPr>
          <w:trHeight w:val="240"/>
        </w:trPr>
        <w:tc>
          <w:tcPr>
            <w:tcW w:w="870" w:type="dxa"/>
            <w:vMerge/>
            <w:tcMar/>
          </w:tcPr>
          <w:p w:rsidR="005657BC" w:rsidRDefault="005657BC" w14:paraId="0000006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vMerge/>
            <w:tcMar/>
          </w:tcPr>
          <w:p w:rsidR="005657BC" w:rsidRDefault="005657BC" w14:paraId="0000006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0" w:type="dxa"/>
            <w:tcMar/>
          </w:tcPr>
          <w:p w:rsidR="005657BC" w:rsidP="2E04E4F5" w:rsidRDefault="00DD7665" w14:paraId="00000068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 xml:space="preserve">4 – 6 </w:t>
            </w:r>
          </w:p>
        </w:tc>
        <w:tc>
          <w:tcPr>
            <w:tcW w:w="1815" w:type="dxa"/>
            <w:tcMar/>
          </w:tcPr>
          <w:p w:rsidR="005657BC" w:rsidP="2E04E4F5" w:rsidRDefault="00DD7665" w14:paraId="00000069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>2 boda</w:t>
            </w:r>
          </w:p>
        </w:tc>
        <w:tc>
          <w:tcPr>
            <w:tcW w:w="1815" w:type="dxa"/>
            <w:vMerge/>
            <w:tcMar>
              <w:left w:w="0" w:type="dxa"/>
              <w:right w:w="0" w:type="dxa"/>
            </w:tcMar>
            <w:vAlign w:val="center"/>
          </w:tcPr>
          <w:p w:rsidR="005657BC" w:rsidRDefault="005657BC" w14:paraId="0000006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657BC" w:rsidTr="2E04E4F5" w14:paraId="5D835029" w14:textId="77777777">
        <w:trPr>
          <w:trHeight w:val="240"/>
        </w:trPr>
        <w:tc>
          <w:tcPr>
            <w:tcW w:w="870" w:type="dxa"/>
            <w:vMerge/>
            <w:tcMar/>
          </w:tcPr>
          <w:p w:rsidR="005657BC" w:rsidRDefault="005657BC" w14:paraId="0000006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vMerge/>
            <w:tcMar/>
          </w:tcPr>
          <w:p w:rsidR="005657BC" w:rsidRDefault="005657BC" w14:paraId="0000006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0" w:type="dxa"/>
            <w:tcMar/>
          </w:tcPr>
          <w:p w:rsidR="005657BC" w:rsidP="2E04E4F5" w:rsidRDefault="00DD7665" w14:paraId="0000006D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 xml:space="preserve">7 – 9 </w:t>
            </w:r>
          </w:p>
        </w:tc>
        <w:tc>
          <w:tcPr>
            <w:tcW w:w="1815" w:type="dxa"/>
            <w:tcMar/>
          </w:tcPr>
          <w:p w:rsidR="005657BC" w:rsidP="2E04E4F5" w:rsidRDefault="00DD7665" w14:paraId="0000006E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>3 boda</w:t>
            </w:r>
          </w:p>
        </w:tc>
        <w:tc>
          <w:tcPr>
            <w:tcW w:w="1815" w:type="dxa"/>
            <w:vMerge/>
            <w:tcMar>
              <w:left w:w="0" w:type="dxa"/>
              <w:right w:w="0" w:type="dxa"/>
            </w:tcMar>
            <w:vAlign w:val="center"/>
          </w:tcPr>
          <w:p w:rsidR="005657BC" w:rsidRDefault="005657BC" w14:paraId="0000006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657BC" w:rsidTr="2E04E4F5" w14:paraId="11A70B5D" w14:textId="77777777">
        <w:trPr>
          <w:trHeight w:val="498"/>
        </w:trPr>
        <w:tc>
          <w:tcPr>
            <w:tcW w:w="870" w:type="dxa"/>
            <w:vMerge/>
            <w:tcMar/>
          </w:tcPr>
          <w:p w:rsidR="005657BC" w:rsidRDefault="005657BC" w14:paraId="0000007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20" w:type="dxa"/>
            <w:vMerge/>
            <w:tcMar/>
          </w:tcPr>
          <w:p w:rsidR="005657BC" w:rsidRDefault="005657BC" w14:paraId="0000007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20" w:type="dxa"/>
            <w:tcMar/>
          </w:tcPr>
          <w:p w:rsidR="005657BC" w:rsidP="2E04E4F5" w:rsidRDefault="00DD7665" w14:paraId="00000072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 xml:space="preserve">10 i više </w:t>
            </w:r>
          </w:p>
        </w:tc>
        <w:tc>
          <w:tcPr>
            <w:tcW w:w="1815" w:type="dxa"/>
            <w:tcMar/>
          </w:tcPr>
          <w:p w:rsidR="005657BC" w:rsidP="2E04E4F5" w:rsidRDefault="00DD7665" w14:paraId="00000073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>4 boda</w:t>
            </w:r>
          </w:p>
        </w:tc>
        <w:tc>
          <w:tcPr>
            <w:tcW w:w="1815" w:type="dxa"/>
            <w:vMerge/>
            <w:tcMar>
              <w:left w:w="0" w:type="dxa"/>
              <w:right w:w="0" w:type="dxa"/>
            </w:tcMar>
            <w:vAlign w:val="center"/>
          </w:tcPr>
          <w:p w:rsidR="005657BC" w:rsidRDefault="005657BC" w14:paraId="0000007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5657BC" w:rsidP="2E04E4F5" w:rsidRDefault="00DD7665" w14:paraId="00000075" w14:textId="5E347D9B">
      <w:pPr>
        <w:jc w:val="both"/>
        <w:rPr>
          <w:lang w:val="hr-HR"/>
        </w:rPr>
      </w:pPr>
      <w:r w:rsidRPr="2E04E4F5" w:rsidR="00DD7665">
        <w:rPr>
          <w:lang w:val="hr-HR"/>
        </w:rPr>
        <w:t>*Pod obrazovnim materijalom smatra se tiskani udžbenik, elektronički udžbenik, drugi obrazovni materija</w:t>
      </w:r>
      <w:r w:rsidRPr="2E04E4F5" w:rsidR="45EAB366">
        <w:rPr>
          <w:lang w:val="hr-HR"/>
        </w:rPr>
        <w:t>l</w:t>
      </w:r>
      <w:r w:rsidRPr="2E04E4F5" w:rsidR="00DD7665">
        <w:rPr>
          <w:lang w:val="hr-HR"/>
        </w:rPr>
        <w:t xml:space="preserve">, digitalni obrazovni sadržaji - namijenjeni učenicima u osnovnoj i srednjoj školi. </w:t>
      </w:r>
    </w:p>
    <w:p w:rsidR="005657BC" w:rsidP="2E04E4F5" w:rsidRDefault="00DD7665" w14:paraId="00000076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Definicije obrazovnih materijala su kako slijedi:</w:t>
      </w:r>
    </w:p>
    <w:p w:rsidR="005657BC" w:rsidP="2E04E4F5" w:rsidRDefault="00DD7665" w14:paraId="00000077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Tiskani oblik udžbenika oblikovan je na način da ne zahtijeva upisivanje rješenja ili odgovora na pitanja i predviđen je za višegodišnje korištenje.  Tiskani udžbenik može biti radnog karaktera odnosno oblikovan na način da omogućuje upisivanje rješenja ili odgovora u razrednoj nastavi osnovne škole</w:t>
      </w:r>
    </w:p>
    <w:p w:rsidR="005657BC" w:rsidP="2E04E4F5" w:rsidRDefault="00DD7665" w14:paraId="00000078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Elektronički udžbenik ili elektronički dio udžbenika mora sadržavati barem jednu od sljedećih triju značajki: dinamičko predočavanje, simulaciju (virtualni pokus) i interakciju (na relacijama učenik – sadržaj, učenik – nastavnik i/ili učenik – učenik).</w:t>
      </w:r>
    </w:p>
    <w:p w:rsidR="005657BC" w:rsidP="2E04E4F5" w:rsidRDefault="00DD7665" w14:paraId="00000079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Drugim obrazovnim materijalima smatraju se nastavna sredstva (tiskana, digitalna ili fizička) koja pomažu u ostvarivanju pojedinih odgojno-obrazovnih ishoda utvrđenih predmetnim kurikulumom, kao i očekivanja međupredmetnih tema, potiču interakciju učenik – učenik i/ili učenik – sadržaj te istraživački i/ili grupni rad, te su uvrštena u Repozitorij drugih obrazovnih materijala.</w:t>
      </w:r>
    </w:p>
    <w:p w:rsidR="005657BC" w:rsidP="2E04E4F5" w:rsidRDefault="00DD7665" w14:paraId="0000007A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 xml:space="preserve">Kriterij iz točke 1. dokazuje se elektroničkim zapisom o radno pravnom statusu. </w:t>
      </w:r>
    </w:p>
    <w:p w:rsidR="005657BC" w:rsidP="2E04E4F5" w:rsidRDefault="00DD7665" w14:paraId="0000007B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Kriteriji iz točke  2. dokazuje se dostavom URL adresa koje vode na materijal ili drugi odgovarajući dokaz.</w:t>
      </w:r>
    </w:p>
    <w:p w:rsidR="005657BC" w:rsidP="2E04E4F5" w:rsidRDefault="00DD7665" w14:paraId="0000007C" w14:textId="5D6FE79F">
      <w:pPr>
        <w:jc w:val="both"/>
        <w:rPr>
          <w:lang w:val="hr-HR"/>
        </w:rPr>
      </w:pPr>
      <w:r w:rsidRPr="348B1361" w:rsidR="00DD7665">
        <w:rPr>
          <w:lang w:val="hr-HR"/>
        </w:rPr>
        <w:t xml:space="preserve">Za predmetne stručnjake pod rednim brojem  </w:t>
      </w:r>
      <w:r w:rsidRPr="348B1361" w:rsidR="5C37CAE9">
        <w:rPr>
          <w:lang w:val="hr-HR"/>
        </w:rPr>
        <w:t>5, 6, 7, 8, 13, 14, 15, 16, 21, 22, 23, 24, 29, 30, 31, 32</w:t>
      </w:r>
      <w:r w:rsidRPr="348B1361" w:rsidR="00DD7665">
        <w:rPr>
          <w:lang w:val="hr-HR"/>
        </w:rPr>
        <w:t xml:space="preserve"> </w:t>
      </w:r>
      <w:r w:rsidRPr="348B1361" w:rsidR="00DD7665">
        <w:rPr>
          <w:lang w:val="hr-HR"/>
        </w:rPr>
        <w:t>kriteriji su sljedeći:</w:t>
      </w:r>
    </w:p>
    <w:p w:rsidR="005657BC" w:rsidP="2E04E4F5" w:rsidRDefault="005657BC" w14:paraId="0000007D" w14:textId="77777777">
      <w:pPr>
        <w:jc w:val="both"/>
        <w:rPr>
          <w:lang w:val="hr-HR"/>
        </w:rPr>
      </w:pPr>
    </w:p>
    <w:tbl>
      <w:tblPr>
        <w:tblStyle w:val="a3"/>
        <w:tblW w:w="9525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95"/>
        <w:gridCol w:w="3450"/>
        <w:gridCol w:w="1650"/>
        <w:gridCol w:w="1815"/>
        <w:gridCol w:w="1815"/>
      </w:tblGrid>
      <w:tr w:rsidR="005657BC" w:rsidTr="2E04E4F5" w14:paraId="506BB9CA" w14:textId="77777777">
        <w:tc>
          <w:tcPr>
            <w:tcW w:w="79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7E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b w:val="1"/>
                <w:bCs w:val="1"/>
                <w:lang w:val="hr-HR"/>
              </w:rPr>
              <w:t xml:space="preserve">R.br. </w:t>
            </w:r>
            <w:r w:rsidRPr="2E04E4F5" w:rsidR="00DD7665">
              <w:rPr>
                <w:rFonts w:ascii="Arial" w:hAnsi="Arial" w:eastAsia="Arial" w:cs="Arial"/>
                <w:lang w:val="hr-HR"/>
              </w:rPr>
              <w:t xml:space="preserve"> </w:t>
            </w:r>
          </w:p>
        </w:tc>
        <w:tc>
          <w:tcPr>
            <w:tcW w:w="34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7F" w14:textId="77777777">
            <w:pPr>
              <w:ind w:left="100"/>
              <w:jc w:val="both"/>
              <w:rPr>
                <w:rFonts w:ascii="Arial" w:hAnsi="Arial" w:eastAsia="Arial" w:cs="Arial"/>
                <w:highlight w:val="white"/>
                <w:lang w:val="hr-HR"/>
              </w:rPr>
            </w:pPr>
            <w:r w:rsidRPr="2E04E4F5" w:rsidR="00DD7665">
              <w:rPr>
                <w:rFonts w:ascii="Arial" w:hAnsi="Arial" w:eastAsia="Arial" w:cs="Arial"/>
                <w:b w:val="1"/>
                <w:bCs w:val="1"/>
                <w:lang w:val="hr-HR"/>
              </w:rPr>
              <w:t>Ključni stručnjaci ponuditelja</w:t>
            </w:r>
            <w:r w:rsidRPr="2E04E4F5" w:rsidR="00DD7665">
              <w:rPr>
                <w:rFonts w:ascii="Arial" w:hAnsi="Arial" w:eastAsia="Arial" w:cs="Arial"/>
                <w:b w:val="1"/>
                <w:bCs w:val="1"/>
                <w:highlight w:val="white"/>
                <w:lang w:val="hr-HR"/>
              </w:rPr>
              <w:t xml:space="preserve"> </w:t>
            </w:r>
            <w:r w:rsidRPr="2E04E4F5" w:rsidR="00DD7665">
              <w:rPr>
                <w:rFonts w:ascii="Arial" w:hAnsi="Arial" w:eastAsia="Arial" w:cs="Arial"/>
                <w:highlight w:val="white"/>
                <w:lang w:val="hr-HR"/>
              </w:rPr>
              <w:t xml:space="preserve"> </w:t>
            </w:r>
          </w:p>
        </w:tc>
        <w:tc>
          <w:tcPr>
            <w:tcW w:w="165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80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b w:val="1"/>
                <w:bCs w:val="1"/>
                <w:lang w:val="hr-HR"/>
              </w:rPr>
              <w:t>Broj/</w:t>
            </w:r>
            <w:r w:rsidRPr="2E04E4F5" w:rsidR="00DD7665">
              <w:rPr>
                <w:rFonts w:ascii="Arial" w:hAnsi="Arial" w:eastAsia="Arial" w:cs="Arial"/>
                <w:lang w:val="hr-HR"/>
              </w:rPr>
              <w:t xml:space="preserve"> </w:t>
            </w:r>
          </w:p>
          <w:p w:rsidR="005657BC" w:rsidP="2E04E4F5" w:rsidRDefault="00DD7665" w14:paraId="00000081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b w:val="1"/>
                <w:bCs w:val="1"/>
                <w:lang w:val="hr-HR"/>
              </w:rPr>
              <w:t>Količina</w:t>
            </w:r>
            <w:r w:rsidRPr="2E04E4F5" w:rsidR="00DD7665">
              <w:rPr>
                <w:rFonts w:ascii="Arial" w:hAnsi="Arial" w:eastAsia="Arial" w:cs="Arial"/>
                <w:lang w:val="hr-HR"/>
              </w:rPr>
              <w:t xml:space="preserve"> </w:t>
            </w:r>
          </w:p>
        </w:tc>
        <w:tc>
          <w:tcPr>
            <w:tcW w:w="18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82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b w:val="1"/>
                <w:bCs w:val="1"/>
                <w:lang w:val="hr-HR"/>
              </w:rPr>
              <w:t xml:space="preserve">Bodovi </w:t>
            </w:r>
            <w:r w:rsidRPr="2E04E4F5" w:rsidR="00DD7665">
              <w:rPr>
                <w:rFonts w:ascii="Arial" w:hAnsi="Arial" w:eastAsia="Arial" w:cs="Arial"/>
                <w:lang w:val="hr-HR"/>
              </w:rPr>
              <w:t xml:space="preserve"> </w:t>
            </w:r>
          </w:p>
        </w:tc>
        <w:tc>
          <w:tcPr>
            <w:tcW w:w="18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EFEFEF"/>
            <w:tcMar>
              <w:left w:w="0" w:type="dxa"/>
              <w:right w:w="0" w:type="dxa"/>
            </w:tcMar>
            <w:vAlign w:val="center"/>
          </w:tcPr>
          <w:p w:rsidR="005657BC" w:rsidP="2E04E4F5" w:rsidRDefault="00DD7665" w14:paraId="00000083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b w:val="1"/>
                <w:bCs w:val="1"/>
                <w:lang w:val="hr-HR"/>
              </w:rPr>
              <w:t xml:space="preserve">Ukupno </w:t>
            </w:r>
            <w:r w:rsidRPr="2E04E4F5" w:rsidR="00DD7665">
              <w:rPr>
                <w:rFonts w:ascii="Arial" w:hAnsi="Arial" w:eastAsia="Arial" w:cs="Arial"/>
                <w:lang w:val="hr-HR"/>
              </w:rPr>
              <w:t xml:space="preserve"> </w:t>
            </w:r>
          </w:p>
        </w:tc>
      </w:tr>
      <w:tr w:rsidR="005657BC" w:rsidTr="2E04E4F5" w14:paraId="4FC34D67" w14:textId="77777777">
        <w:trPr>
          <w:trHeight w:val="240"/>
        </w:trPr>
        <w:tc>
          <w:tcPr>
            <w:tcW w:w="795" w:type="dxa"/>
            <w:vMerge w:val="restart"/>
            <w:tcMar/>
          </w:tcPr>
          <w:p w:rsidR="005657BC" w:rsidP="2E04E4F5" w:rsidRDefault="00DD7665" w14:paraId="00000084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>1.</w:t>
            </w:r>
          </w:p>
        </w:tc>
        <w:tc>
          <w:tcPr>
            <w:tcW w:w="3450" w:type="dxa"/>
            <w:vMerge w:val="restart"/>
            <w:tcMar/>
          </w:tcPr>
          <w:p w:rsidR="005657BC" w:rsidP="2E04E4F5" w:rsidRDefault="00DD7665" w14:paraId="00000085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both"/>
              <w:rPr>
                <w:b w:val="1"/>
                <w:bCs w:val="1"/>
                <w:u w:val="single"/>
                <w:lang w:val="hr-HR"/>
              </w:rPr>
            </w:pPr>
            <w:r w:rsidRPr="2E04E4F5" w:rsidR="00DD7665">
              <w:rPr>
                <w:lang w:val="hr-HR"/>
              </w:rPr>
              <w:t xml:space="preserve">Broj godina iskustva u održavanju nastave iz </w:t>
            </w:r>
            <w:r w:rsidRPr="2E04E4F5" w:rsidR="00DD7665">
              <w:rPr>
                <w:b w:val="1"/>
                <w:bCs w:val="1"/>
                <w:u w:val="single"/>
                <w:lang w:val="hr-HR"/>
              </w:rPr>
              <w:t>nastavnog predmeta x u srednjoj školi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7BC" w:rsidP="2E04E4F5" w:rsidRDefault="00DD7665" w14:paraId="00000086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 xml:space="preserve">1-2 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7BC" w:rsidP="2E04E4F5" w:rsidRDefault="00DD7665" w14:paraId="00000087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lang w:val="hr-HR"/>
              </w:rPr>
              <w:t>1 bod</w:t>
            </w:r>
          </w:p>
        </w:tc>
        <w:tc>
          <w:tcPr>
            <w:tcW w:w="1815" w:type="dxa"/>
            <w:vMerge w:val="restart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7BC" w:rsidP="2E04E4F5" w:rsidRDefault="00DD7665" w14:paraId="00000088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lang w:val="hr-HR"/>
              </w:rPr>
              <w:t>9 bodova</w:t>
            </w:r>
          </w:p>
        </w:tc>
      </w:tr>
      <w:tr w:rsidR="005657BC" w:rsidTr="2E04E4F5" w14:paraId="127D4C27" w14:textId="77777777">
        <w:trPr>
          <w:trHeight w:val="240"/>
        </w:trPr>
        <w:tc>
          <w:tcPr>
            <w:tcW w:w="795" w:type="dxa"/>
            <w:vMerge/>
            <w:tcMar/>
          </w:tcPr>
          <w:p w:rsidR="005657BC" w:rsidRDefault="005657BC" w14:paraId="0000008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3450" w:type="dxa"/>
            <w:vMerge/>
            <w:tcMar/>
          </w:tcPr>
          <w:p w:rsidR="005657BC" w:rsidRDefault="005657BC" w14:paraId="0000008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7BC" w:rsidP="2E04E4F5" w:rsidRDefault="00DD7665" w14:paraId="0000008B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 xml:space="preserve">3-4 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7BC" w:rsidP="2E04E4F5" w:rsidRDefault="00DD7665" w14:paraId="0000008C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lang w:val="hr-HR"/>
              </w:rPr>
              <w:t>3 boda</w:t>
            </w:r>
          </w:p>
        </w:tc>
        <w:tc>
          <w:tcPr>
            <w:tcW w:w="18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7BC" w:rsidRDefault="005657BC" w14:paraId="000000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  <w:tr w:rsidR="005657BC" w:rsidTr="2E04E4F5" w14:paraId="6BDF1E93" w14:textId="77777777">
        <w:trPr>
          <w:trHeight w:val="240"/>
        </w:trPr>
        <w:tc>
          <w:tcPr>
            <w:tcW w:w="795" w:type="dxa"/>
            <w:vMerge/>
            <w:tcMar/>
          </w:tcPr>
          <w:p w:rsidR="005657BC" w:rsidRDefault="005657BC" w14:paraId="0000008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3450" w:type="dxa"/>
            <w:vMerge/>
            <w:tcMar/>
          </w:tcPr>
          <w:p w:rsidR="005657BC" w:rsidRDefault="005657BC" w14:paraId="0000008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7BC" w:rsidP="2E04E4F5" w:rsidRDefault="00DD7665" w14:paraId="00000090" w14:textId="77777777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 xml:space="preserve">5 i više 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7BC" w:rsidP="2E04E4F5" w:rsidRDefault="00DD7665" w14:paraId="00000091" w14:textId="77777777">
            <w:pPr>
              <w:ind w:left="100"/>
              <w:jc w:val="both"/>
              <w:rPr>
                <w:rFonts w:ascii="Arial" w:hAnsi="Arial" w:eastAsia="Arial" w:cs="Arial"/>
                <w:lang w:val="hr-HR"/>
              </w:rPr>
            </w:pPr>
            <w:r w:rsidRPr="2E04E4F5" w:rsidR="00DD7665">
              <w:rPr>
                <w:rFonts w:ascii="Arial" w:hAnsi="Arial" w:eastAsia="Arial" w:cs="Arial"/>
                <w:lang w:val="hr-HR"/>
              </w:rPr>
              <w:t>5 bodova</w:t>
            </w:r>
          </w:p>
        </w:tc>
        <w:tc>
          <w:tcPr>
            <w:tcW w:w="18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7BC" w:rsidRDefault="005657BC" w14:paraId="0000009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eastAsia="Arial" w:cs="Arial"/>
              </w:rPr>
            </w:pPr>
          </w:p>
        </w:tc>
      </w:tr>
      <w:tr w:rsidR="005657BC" w:rsidTr="2E04E4F5" w14:paraId="69A4E642" w14:textId="77777777">
        <w:trPr>
          <w:trHeight w:val="240"/>
        </w:trPr>
        <w:tc>
          <w:tcPr>
            <w:tcW w:w="795" w:type="dxa"/>
            <w:vMerge w:val="restart"/>
            <w:tcMar/>
          </w:tcPr>
          <w:p w:rsidR="005657BC" w:rsidP="2E04E4F5" w:rsidRDefault="00DD7665" w14:paraId="00000093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>2.</w:t>
            </w:r>
          </w:p>
        </w:tc>
        <w:tc>
          <w:tcPr>
            <w:tcW w:w="3450" w:type="dxa"/>
            <w:vMerge w:val="restart"/>
            <w:tcMar/>
          </w:tcPr>
          <w:p w:rsidR="005657BC" w:rsidP="2E04E4F5" w:rsidRDefault="00DD7665" w14:paraId="00000094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 xml:space="preserve">Broj </w:t>
            </w:r>
            <w:r w:rsidRPr="2E04E4F5" w:rsidR="00DD7665">
              <w:rPr>
                <w:b w:val="1"/>
                <w:bCs w:val="1"/>
                <w:lang w:val="hr-HR"/>
              </w:rPr>
              <w:t>obrazovnih materijala*</w:t>
            </w:r>
            <w:r w:rsidRPr="2E04E4F5" w:rsidR="00DD7665">
              <w:rPr>
                <w:lang w:val="hr-HR"/>
              </w:rPr>
              <w:t xml:space="preserve"> na kojima je stručnjak bio autor ili koautor. </w:t>
            </w:r>
          </w:p>
        </w:tc>
        <w:tc>
          <w:tcPr>
            <w:tcW w:w="1650" w:type="dxa"/>
            <w:tcMar/>
          </w:tcPr>
          <w:p w:rsidR="005657BC" w:rsidP="2E04E4F5" w:rsidRDefault="00DD7665" w14:paraId="00000095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 xml:space="preserve">1 – 3 </w:t>
            </w:r>
          </w:p>
        </w:tc>
        <w:tc>
          <w:tcPr>
            <w:tcW w:w="1815" w:type="dxa"/>
            <w:tcMar/>
          </w:tcPr>
          <w:p w:rsidR="005657BC" w:rsidP="2E04E4F5" w:rsidRDefault="00DD7665" w14:paraId="00000096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>1 bod</w:t>
            </w:r>
          </w:p>
        </w:tc>
        <w:tc>
          <w:tcPr>
            <w:tcW w:w="18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7BC" w:rsidRDefault="005657BC" w14:paraId="0000009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657BC" w:rsidTr="2E04E4F5" w14:paraId="762271BA" w14:textId="77777777">
        <w:trPr>
          <w:trHeight w:val="240"/>
        </w:trPr>
        <w:tc>
          <w:tcPr>
            <w:tcW w:w="795" w:type="dxa"/>
            <w:vMerge/>
            <w:tcMar/>
          </w:tcPr>
          <w:p w:rsidR="005657BC" w:rsidRDefault="005657BC" w14:paraId="0000009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50" w:type="dxa"/>
            <w:vMerge/>
            <w:tcMar/>
          </w:tcPr>
          <w:p w:rsidR="005657BC" w:rsidRDefault="005657BC" w14:paraId="000000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tcMar/>
          </w:tcPr>
          <w:p w:rsidR="005657BC" w:rsidP="2E04E4F5" w:rsidRDefault="00DD7665" w14:paraId="0000009A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 xml:space="preserve">4 – 6 </w:t>
            </w:r>
          </w:p>
        </w:tc>
        <w:tc>
          <w:tcPr>
            <w:tcW w:w="1815" w:type="dxa"/>
            <w:tcMar/>
          </w:tcPr>
          <w:p w:rsidR="005657BC" w:rsidP="2E04E4F5" w:rsidRDefault="00DD7665" w14:paraId="0000009B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>2 boda</w:t>
            </w:r>
          </w:p>
        </w:tc>
        <w:tc>
          <w:tcPr>
            <w:tcW w:w="18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7BC" w:rsidRDefault="005657BC" w14:paraId="0000009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657BC" w:rsidTr="2E04E4F5" w14:paraId="2271E129" w14:textId="77777777">
        <w:trPr>
          <w:trHeight w:val="240"/>
        </w:trPr>
        <w:tc>
          <w:tcPr>
            <w:tcW w:w="795" w:type="dxa"/>
            <w:vMerge/>
            <w:tcMar/>
          </w:tcPr>
          <w:p w:rsidR="005657BC" w:rsidRDefault="005657BC" w14:paraId="0000009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50" w:type="dxa"/>
            <w:vMerge/>
            <w:tcMar/>
          </w:tcPr>
          <w:p w:rsidR="005657BC" w:rsidRDefault="005657BC" w14:paraId="0000009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tcMar/>
          </w:tcPr>
          <w:p w:rsidR="005657BC" w:rsidP="2E04E4F5" w:rsidRDefault="00DD7665" w14:paraId="0000009F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 xml:space="preserve">7 – 9 </w:t>
            </w:r>
          </w:p>
        </w:tc>
        <w:tc>
          <w:tcPr>
            <w:tcW w:w="1815" w:type="dxa"/>
            <w:tcMar/>
          </w:tcPr>
          <w:p w:rsidR="005657BC" w:rsidP="2E04E4F5" w:rsidRDefault="00DD7665" w14:paraId="000000A0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>3 boda</w:t>
            </w:r>
          </w:p>
        </w:tc>
        <w:tc>
          <w:tcPr>
            <w:tcW w:w="18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7BC" w:rsidRDefault="005657BC" w14:paraId="000000A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657BC" w:rsidTr="2E04E4F5" w14:paraId="05D7ADA7" w14:textId="77777777">
        <w:trPr>
          <w:trHeight w:val="240"/>
        </w:trPr>
        <w:tc>
          <w:tcPr>
            <w:tcW w:w="795" w:type="dxa"/>
            <w:vMerge/>
            <w:tcMar/>
          </w:tcPr>
          <w:p w:rsidR="005657BC" w:rsidRDefault="005657BC" w14:paraId="000000A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50" w:type="dxa"/>
            <w:vMerge/>
            <w:tcMar/>
          </w:tcPr>
          <w:p w:rsidR="005657BC" w:rsidRDefault="005657BC" w14:paraId="000000A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650" w:type="dxa"/>
            <w:tcMar/>
          </w:tcPr>
          <w:p w:rsidR="005657BC" w:rsidP="2E04E4F5" w:rsidRDefault="00DD7665" w14:paraId="000000A4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 xml:space="preserve">10 i više </w:t>
            </w:r>
          </w:p>
        </w:tc>
        <w:tc>
          <w:tcPr>
            <w:tcW w:w="1815" w:type="dxa"/>
            <w:tcMar/>
          </w:tcPr>
          <w:p w:rsidR="005657BC" w:rsidP="2E04E4F5" w:rsidRDefault="00DD7665" w14:paraId="000000A5" w14:textId="77777777">
            <w:pPr>
              <w:jc w:val="both"/>
              <w:rPr>
                <w:lang w:val="hr-HR"/>
              </w:rPr>
            </w:pPr>
            <w:r w:rsidRPr="2E04E4F5" w:rsidR="00DD7665">
              <w:rPr>
                <w:lang w:val="hr-HR"/>
              </w:rPr>
              <w:t>4 boda</w:t>
            </w:r>
          </w:p>
        </w:tc>
        <w:tc>
          <w:tcPr>
            <w:tcW w:w="1815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57BC" w:rsidRDefault="005657BC" w14:paraId="000000A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5657BC" w:rsidP="2E04E4F5" w:rsidRDefault="005657BC" w14:paraId="000000A7" w14:textId="77777777">
      <w:pPr>
        <w:jc w:val="both"/>
        <w:rPr>
          <w:rFonts w:ascii="Arial" w:hAnsi="Arial" w:eastAsia="Arial" w:cs="Arial"/>
          <w:color w:val="6D6E70"/>
          <w:highlight w:val="white"/>
          <w:lang w:val="hr-HR"/>
        </w:rPr>
      </w:pPr>
    </w:p>
    <w:p w:rsidR="005657BC" w:rsidP="2E04E4F5" w:rsidRDefault="00DD7665" w14:paraId="000000A8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 xml:space="preserve">*Pod obrazovnim materijalom smatra se tiskani udžbenik, elektronički udžbenik, drugi obrazovni materija, digitalni obrazovni sadržaji - namijenjeni učenicima u osnovnoj i srednjoj školi. </w:t>
      </w:r>
    </w:p>
    <w:p w:rsidR="005657BC" w:rsidP="2E04E4F5" w:rsidRDefault="00DD7665" w14:paraId="000000A9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Definicije obrazovnih materijala su kako slijedi:</w:t>
      </w:r>
    </w:p>
    <w:p w:rsidR="005657BC" w:rsidP="2E04E4F5" w:rsidRDefault="00DD7665" w14:paraId="000000AA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Tiskani oblik udžbenika oblikovan je na način da ne zahtijeva upisivanje rješenja ili odgovora na pitanja i predviđen je za višegodišnje korištenje.  Tiskani udžbenik može biti radnog karaktera odnosno oblikovan na način da omogućuje upisivanje rješenja ili odgovora u razrednoj nastavi osnovne škole</w:t>
      </w:r>
    </w:p>
    <w:p w:rsidR="005657BC" w:rsidP="2E04E4F5" w:rsidRDefault="00DD7665" w14:paraId="000000AB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Elektronički udžbenik ili elektronički dio udžbenika mora sadržavati barem jednu od sljedećih triju značajki: dinamičko predočavanje, simulaciju (virtualni pokus) i interakciju (na relacijama učenik – sadržaj, učenik – nastavnik i/ili učenik – učenik).</w:t>
      </w:r>
    </w:p>
    <w:p w:rsidR="005657BC" w:rsidP="2E04E4F5" w:rsidRDefault="00DD7665" w14:paraId="000000AC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Drugim obrazovnim materijalima smatraju se nastavna sredstva (tiskana, digitalna ili fizička) koja pomažu u ostvarivanju pojedinih odgojno-obrazovnih ishoda utvrđenih predmetnim kurikulumom, kao i očekivanja međupredmetnih tema, potiču interakciju učenik – učenik i/ili učenik – sadržaj te istraživački i/ili grupni rad, te su uvrštena u Repozitorij drugih obrazovnih materijala.</w:t>
      </w:r>
    </w:p>
    <w:p w:rsidR="005657BC" w:rsidP="2E04E4F5" w:rsidRDefault="00DD7665" w14:paraId="000000AD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 xml:space="preserve">Kriterij iz točke 1. dokazuje se elektroničkim zapisom o radno pravnom statusu. </w:t>
      </w:r>
    </w:p>
    <w:p w:rsidR="005657BC" w:rsidP="2E04E4F5" w:rsidRDefault="00DD7665" w14:paraId="000000AE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Kriteriji iz točke  2. dokazuje se dostavom URL adresa koje vode na materijal ili drugi odgovarajući dokaz.</w:t>
      </w:r>
    </w:p>
    <w:p w:rsidR="005657BC" w:rsidP="2E04E4F5" w:rsidRDefault="00DD7665" w14:paraId="000000AF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U slučaju promjena prezimena, potrebno je dostaviti dokument kojim se potvrđuje promjena prezimena (primjerice, vjenčani list).</w:t>
      </w:r>
    </w:p>
    <w:p w:rsidR="005657BC" w:rsidP="2E04E4F5" w:rsidRDefault="005657BC" w14:paraId="000000B0" w14:textId="77777777">
      <w:pPr>
        <w:jc w:val="both"/>
        <w:rPr>
          <w:lang w:val="hr-HR"/>
        </w:rPr>
      </w:pPr>
    </w:p>
    <w:p w:rsidR="005657BC" w:rsidP="2E04E4F5" w:rsidRDefault="00DD7665" w14:paraId="000000B1" w14:textId="77777777" w14:noSpellErr="1">
      <w:pPr>
        <w:pStyle w:val="Heading2"/>
        <w:jc w:val="both"/>
        <w:rPr>
          <w:lang w:val="hr-HR"/>
        </w:rPr>
      </w:pPr>
      <w:bookmarkStart w:name="_heading=h.xqhitwy5txev" w:id="37"/>
      <w:bookmarkEnd w:id="37"/>
      <w:r w:rsidRPr="2E04E4F5" w:rsidR="00DD7665">
        <w:rPr>
          <w:lang w:val="hr-HR"/>
        </w:rPr>
        <w:t>Postupak odabira predmetnih stručnjaka-recenzenata</w:t>
      </w:r>
    </w:p>
    <w:p w:rsidR="005657BC" w:rsidP="348B1361" w:rsidRDefault="00DD7665" w14:paraId="127D8484" w14:textId="095EED43">
      <w:pPr>
        <w:jc w:val="both"/>
        <w:rPr>
          <w:lang w:val="hr-HR"/>
        </w:rPr>
      </w:pPr>
      <w:r w:rsidRPr="348B1361" w:rsidR="00DD7665">
        <w:rPr>
          <w:lang w:val="hr-HR"/>
        </w:rPr>
        <w:t>Provjeru kriterija provodi Stručno povjerenstvo (dalje u tekstu: Povjerenstvo) sastavljeno od predstavnika CARNET-a koje imenuje ravnatelj CARNET-a. Povjerenstvo razmatra svaku prijavu, boduje zainteresirane pojedince i ravnatelju podnosi zajednički izvještaj o ispunjavanju kriterija i evaluaciji prijava.</w:t>
      </w:r>
      <w:r w:rsidRPr="348B1361" w:rsidR="2E5305A8">
        <w:rPr>
          <w:lang w:val="hr-HR"/>
        </w:rPr>
        <w:t xml:space="preserve"> </w:t>
      </w:r>
    </w:p>
    <w:p w:rsidR="005657BC" w:rsidP="2E04E4F5" w:rsidRDefault="00DD7665" w14:paraId="000000B2" w14:textId="0C0C274E">
      <w:pPr>
        <w:jc w:val="both"/>
        <w:rPr>
          <w:lang w:val="hr-HR"/>
        </w:rPr>
      </w:pPr>
      <w:r w:rsidRPr="348B1361" w:rsidR="2E5305A8">
        <w:rPr>
          <w:lang w:val="hr-HR"/>
        </w:rPr>
        <w:t xml:space="preserve">Kandidat se može prijaviti za više </w:t>
      </w:r>
      <w:r w:rsidRPr="348B1361" w:rsidR="299BBAC1">
        <w:rPr>
          <w:lang w:val="hr-HR"/>
        </w:rPr>
        <w:t>predmetnih</w:t>
      </w:r>
      <w:r w:rsidRPr="348B1361" w:rsidR="299BBAC1">
        <w:rPr>
          <w:lang w:val="hr-HR"/>
        </w:rPr>
        <w:t xml:space="preserve"> stručnjaka-</w:t>
      </w:r>
      <w:r w:rsidRPr="348B1361" w:rsidR="2E5305A8">
        <w:rPr>
          <w:lang w:val="hr-HR"/>
        </w:rPr>
        <w:t xml:space="preserve">recenzenata, ali moguće je biti odabran za najviše </w:t>
      </w:r>
      <w:r w:rsidRPr="348B1361" w:rsidR="53D37433">
        <w:rPr>
          <w:lang w:val="hr-HR"/>
        </w:rPr>
        <w:t>jednog</w:t>
      </w:r>
      <w:r w:rsidRPr="348B1361" w:rsidR="2E5305A8">
        <w:rPr>
          <w:lang w:val="hr-HR"/>
        </w:rPr>
        <w:t>.</w:t>
      </w:r>
    </w:p>
    <w:p w:rsidR="005657BC" w:rsidP="2E04E4F5" w:rsidRDefault="00DD7665" w14:paraId="000000B3" w14:textId="124AF227">
      <w:pPr>
        <w:jc w:val="both"/>
        <w:rPr>
          <w:lang w:val="hr-HR"/>
        </w:rPr>
      </w:pPr>
      <w:r w:rsidRPr="348B1361" w:rsidR="00DD7665">
        <w:rPr>
          <w:lang w:val="hr-HR"/>
        </w:rPr>
        <w:t xml:space="preserve">U slučaju da pojedini kandidati ostvare isti broj bodova temeljem kriterija za bodovanje, prednost će imati kandidat koji se prvi prijavio na Poziv. </w:t>
      </w:r>
    </w:p>
    <w:p w:rsidR="4209936E" w:rsidP="348B1361" w:rsidRDefault="4209936E" w14:paraId="2CD87075" w14:textId="12A34426">
      <w:pPr>
        <w:jc w:val="both"/>
        <w:rPr>
          <w:lang w:val="hr-HR"/>
        </w:rPr>
      </w:pPr>
      <w:r w:rsidRPr="348B1361" w:rsidR="4209936E">
        <w:rPr>
          <w:lang w:val="hr-HR"/>
        </w:rPr>
        <w:t xml:space="preserve">Ukoliko se kandidat prijavio za više predmetnih stručnjaka </w:t>
      </w:r>
      <w:r w:rsidRPr="348B1361" w:rsidR="4209936E">
        <w:rPr>
          <w:lang w:val="hr-HR"/>
        </w:rPr>
        <w:t>te ostvario najveć</w:t>
      </w:r>
      <w:r w:rsidRPr="348B1361" w:rsidR="47487D3F">
        <w:rPr>
          <w:lang w:val="hr-HR"/>
        </w:rPr>
        <w:t>i broj bodova u više od jedne</w:t>
      </w:r>
      <w:r w:rsidRPr="348B1361" w:rsidR="7C4AEBA5">
        <w:rPr>
          <w:lang w:val="hr-HR"/>
        </w:rPr>
        <w:t xml:space="preserve"> prijave</w:t>
      </w:r>
      <w:r w:rsidRPr="348B1361" w:rsidR="47487D3F">
        <w:rPr>
          <w:lang w:val="hr-HR"/>
        </w:rPr>
        <w:t>, bit ć</w:t>
      </w:r>
      <w:r w:rsidRPr="348B1361" w:rsidR="47487D3F">
        <w:rPr>
          <w:lang w:val="hr-HR"/>
        </w:rPr>
        <w:t>e izabran za predmetnog stručnjaka prema onoj prijavi koja je pristigla najranije.</w:t>
      </w:r>
    </w:p>
    <w:p w:rsidR="005657BC" w:rsidP="2E04E4F5" w:rsidRDefault="00DD7665" w14:paraId="000000B4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Odluku o odabiru predmetnih stručnjaka donosi ravnatelj CARNET-a na prijedlog  Povjerenstva.</w:t>
      </w:r>
    </w:p>
    <w:p w:rsidR="005657BC" w:rsidP="2E04E4F5" w:rsidRDefault="00DD7665" w14:paraId="000000B5" w14:textId="77777777" w14:noSpellErr="1">
      <w:pPr>
        <w:jc w:val="both"/>
        <w:rPr>
          <w:lang w:val="hr-HR"/>
        </w:rPr>
      </w:pPr>
      <w:r w:rsidRPr="2E04E4F5" w:rsidR="00DD7665">
        <w:rPr>
          <w:lang w:val="hr-HR"/>
        </w:rPr>
        <w:t>Kandidati koji ne ispunjavaju minimalne uvjete će biti obaviješteni o isključenju iz postupka putem elektroničke pošte.</w:t>
      </w:r>
    </w:p>
    <w:p w:rsidR="651F8437" w:rsidP="2E04E4F5" w:rsidRDefault="651F8437" w14:paraId="12BCFFE3" w14:textId="44691060" w14:noSpellErr="1">
      <w:pPr>
        <w:jc w:val="both"/>
        <w:rPr>
          <w:lang w:val="hr-HR"/>
        </w:rPr>
      </w:pPr>
      <w:r w:rsidRPr="2E04E4F5" w:rsidR="651F8437">
        <w:rPr>
          <w:lang w:val="hr-HR"/>
        </w:rPr>
        <w:t>Odluka o odabiru bit će objavljena na web stranicama CARNET-a.</w:t>
      </w:r>
    </w:p>
    <w:p w:rsidR="005657BC" w:rsidP="2E04E4F5" w:rsidRDefault="005657BC" w14:paraId="000000B7" w14:textId="7C012142" w14:noSpellErr="1">
      <w:pPr>
        <w:pStyle w:val="Normal"/>
        <w:jc w:val="both"/>
        <w:rPr>
          <w:lang w:val="hr-HR"/>
        </w:rPr>
      </w:pPr>
    </w:p>
    <w:p w:rsidR="005657BC" w:rsidP="2E04E4F5" w:rsidRDefault="00DD7665" w14:paraId="000000B8" w14:textId="77777777">
      <w:pPr>
        <w:pStyle w:val="Heading2"/>
        <w:jc w:val="both"/>
        <w:rPr>
          <w:lang w:val="hr-HR"/>
        </w:rPr>
      </w:pPr>
      <w:bookmarkStart w:name="_heading=h.521winq4ng13" w:id="48"/>
      <w:bookmarkEnd w:id="48"/>
      <w:r w:rsidRPr="2E04E4F5" w:rsidR="00DD7665">
        <w:rPr>
          <w:lang w:val="hr-HR"/>
        </w:rPr>
        <w:t>Način podnošenja prijave</w:t>
      </w:r>
    </w:p>
    <w:p w:rsidR="005657BC" w:rsidP="2E04E4F5" w:rsidRDefault="00DD7665" w14:paraId="000000B9" w14:textId="77777777">
      <w:pPr>
        <w:jc w:val="both"/>
        <w:rPr>
          <w:lang w:val="hr-HR"/>
        </w:rPr>
      </w:pPr>
      <w:r w:rsidRPr="348B1361" w:rsidR="00DD7665">
        <w:rPr>
          <w:lang w:val="hr-HR"/>
        </w:rPr>
        <w:t xml:space="preserve">Zainteresirani pojedinci prijave dostavljaju isključivo u elektronskom obliku - životopis i dokaznu dokumentaciju. </w:t>
      </w:r>
    </w:p>
    <w:p w:rsidR="005657BC" w:rsidP="348B1361" w:rsidRDefault="00DD7665" w14:paraId="42813941" w14:textId="1BA0E758">
      <w:pPr>
        <w:jc w:val="both"/>
        <w:rPr>
          <w:lang w:val="hr-HR"/>
        </w:rPr>
      </w:pPr>
      <w:r w:rsidRPr="348B1361" w:rsidR="23F2FFD7">
        <w:rPr>
          <w:lang w:val="hr-HR"/>
        </w:rPr>
        <w:t xml:space="preserve">Ukoliko se kandidat prijavljuje za više predmetnih stručnjaka-recenzenata, </w:t>
      </w:r>
      <w:r w:rsidRPr="348B1361" w:rsidR="23F2FFD7">
        <w:rPr>
          <w:lang w:val="hr-HR"/>
        </w:rPr>
        <w:t>mora to učiniti putem zasebne prijave</w:t>
      </w:r>
      <w:r w:rsidRPr="348B1361" w:rsidR="64FDE190">
        <w:rPr>
          <w:lang w:val="hr-HR"/>
        </w:rPr>
        <w:t xml:space="preserve"> za svakog</w:t>
      </w:r>
      <w:r w:rsidRPr="348B1361" w:rsidR="23F2FFD7">
        <w:rPr>
          <w:lang w:val="hr-HR"/>
        </w:rPr>
        <w:t>.</w:t>
      </w:r>
    </w:p>
    <w:p w:rsidR="005657BC" w:rsidP="2E04E4F5" w:rsidRDefault="00DD7665" w14:paraId="000000BA" w14:textId="1BF1888A">
      <w:pPr>
        <w:jc w:val="both"/>
        <w:rPr>
          <w:lang w:val="hr-HR"/>
        </w:rPr>
      </w:pPr>
      <w:r w:rsidRPr="348B1361" w:rsidR="00DD7665">
        <w:rPr>
          <w:lang w:val="hr-HR"/>
        </w:rPr>
        <w:t xml:space="preserve">Razmatrat će se prijave koje su dostavljene pravodobno, do </w:t>
      </w:r>
      <w:r w:rsidRPr="348B1361" w:rsidR="2482C399">
        <w:rPr>
          <w:lang w:val="hr-HR"/>
        </w:rPr>
        <w:t>15</w:t>
      </w:r>
      <w:r w:rsidRPr="348B1361" w:rsidR="00DD7665">
        <w:rPr>
          <w:lang w:val="hr-HR"/>
        </w:rPr>
        <w:t>.</w:t>
      </w:r>
      <w:r w:rsidRPr="348B1361" w:rsidR="5F28F4BF">
        <w:rPr>
          <w:lang w:val="hr-HR"/>
        </w:rPr>
        <w:t>10</w:t>
      </w:r>
      <w:r w:rsidRPr="348B1361" w:rsidR="00DD7665">
        <w:rPr>
          <w:lang w:val="hr-HR"/>
        </w:rPr>
        <w:t>.2025., uključujući i taj dan, i samo one prijave koje imaju pripadajuću dokumentaciju.</w:t>
      </w:r>
    </w:p>
    <w:p w:rsidR="005657BC" w:rsidP="2E04E4F5" w:rsidRDefault="00DD7665" w14:paraId="000000BB" w14:textId="43CEF8C7">
      <w:pPr>
        <w:jc w:val="both"/>
        <w:rPr>
          <w:lang w:val="hr-HR"/>
        </w:rPr>
      </w:pPr>
      <w:r w:rsidRPr="2E04E4F5" w:rsidR="00DD7665">
        <w:rPr>
          <w:lang w:val="hr-HR"/>
        </w:rPr>
        <w:t xml:space="preserve">Prijave se dostavljaju na mail adresu </w:t>
      </w:r>
      <w:r w:rsidRPr="2E04E4F5" w:rsidR="4359860E">
        <w:rPr>
          <w:lang w:val="hr-HR"/>
        </w:rPr>
        <w:t>javni-poziv-dos@carnet.hr</w:t>
      </w:r>
      <w:r w:rsidRPr="2E04E4F5" w:rsidR="00DD7665">
        <w:rPr>
          <w:lang w:val="hr-HR"/>
        </w:rPr>
        <w:t>.</w:t>
      </w:r>
    </w:p>
    <w:p w:rsidR="005657BC" w:rsidP="2E04E4F5" w:rsidRDefault="00DD7665" w14:paraId="000000BC" w14:textId="77777777">
      <w:pPr>
        <w:jc w:val="both"/>
        <w:rPr>
          <w:lang w:val="hr-HR"/>
        </w:rPr>
      </w:pPr>
      <w:r w:rsidRPr="2E04E4F5" w:rsidR="00DD7665">
        <w:rPr>
          <w:lang w:val="hr-HR"/>
        </w:rPr>
        <w:t>Nepotpune i zakašnjele prijave neće se uzeti u obzir.</w:t>
      </w:r>
    </w:p>
    <w:p w:rsidR="005657BC" w:rsidP="2E04E4F5" w:rsidRDefault="005657BC" w14:paraId="000000BD" w14:textId="77777777">
      <w:pPr>
        <w:jc w:val="both"/>
        <w:rPr>
          <w:lang w:val="hr-HR"/>
        </w:rPr>
      </w:pPr>
    </w:p>
    <w:p w:rsidR="005657BC" w:rsidP="2E04E4F5" w:rsidRDefault="00DD7665" w14:paraId="000000BE" w14:textId="77777777">
      <w:pPr>
        <w:jc w:val="both"/>
        <w:rPr>
          <w:lang w:val="hr-HR"/>
        </w:rPr>
      </w:pPr>
      <w:r w:rsidRPr="2E04E4F5">
        <w:rPr>
          <w:lang w:val="hr-HR"/>
        </w:rPr>
        <w:br w:type="page"/>
      </w:r>
    </w:p>
    <w:p w:rsidR="005657BC" w:rsidP="2E04E4F5" w:rsidRDefault="00DD7665" w14:paraId="000000BF" w14:textId="77777777">
      <w:pPr>
        <w:jc w:val="both"/>
        <w:rPr>
          <w:b w:val="1"/>
          <w:bCs w:val="1"/>
          <w:lang w:val="hr-HR"/>
        </w:rPr>
      </w:pPr>
      <w:r w:rsidRPr="2E04E4F5" w:rsidR="00DD7665">
        <w:rPr>
          <w:b w:val="1"/>
          <w:bCs w:val="1"/>
          <w:lang w:val="hr-HR"/>
        </w:rPr>
        <w:t>ŽIVOTOPIS PREDMETNOG STRUČNJAKA</w:t>
      </w:r>
    </w:p>
    <w:p w:rsidR="005657BC" w:rsidP="2E04E4F5" w:rsidRDefault="00DD7665" w14:paraId="000000C0" w14:textId="77777777">
      <w:pPr>
        <w:jc w:val="both"/>
        <w:rPr>
          <w:lang w:val="hr-HR"/>
        </w:rPr>
      </w:pPr>
      <w:r w:rsidRPr="2E04E4F5" w:rsidR="00DD7665">
        <w:rPr>
          <w:b w:val="1"/>
          <w:bCs w:val="1"/>
          <w:lang w:val="hr-HR"/>
        </w:rPr>
        <w:t xml:space="preserve">Predmetni stručnjak-recenzent _____ </w:t>
      </w:r>
      <w:r w:rsidRPr="2E04E4F5" w:rsidR="00DD7665">
        <w:rPr>
          <w:lang w:val="hr-HR"/>
        </w:rPr>
        <w:t>(broj predmetnog stručnjaka iz javnog poziva)</w:t>
      </w:r>
    </w:p>
    <w:tbl>
      <w:tblPr>
        <w:tblStyle w:val="a4"/>
        <w:tblW w:w="93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5657BC" w:rsidTr="27F9B872" w14:paraId="3E2D8548" w14:textId="77777777">
        <w:tc>
          <w:tcPr>
            <w:tcW w:w="4675" w:type="dxa"/>
          </w:tcPr>
          <w:p w:rsidR="005657BC" w:rsidP="27F9B872" w:rsidRDefault="00DD7665" w14:paraId="000000C1" w14:textId="77777777">
            <w:pPr>
              <w:jc w:val="both"/>
              <w:rPr>
                <w:lang w:val="hr-HR"/>
              </w:rPr>
            </w:pPr>
            <w:r w:rsidRPr="27F9B872">
              <w:rPr>
                <w:lang w:val="hr-HR"/>
              </w:rPr>
              <w:t>Ime i prezime</w:t>
            </w:r>
          </w:p>
          <w:p w:rsidR="005657BC" w:rsidP="27F9B872" w:rsidRDefault="005657BC" w14:paraId="000000C2" w14:textId="77777777">
            <w:pPr>
              <w:jc w:val="both"/>
              <w:rPr>
                <w:lang w:val="hr-HR"/>
              </w:rPr>
            </w:pPr>
          </w:p>
          <w:p w:rsidR="005657BC" w:rsidP="27F9B872" w:rsidRDefault="005657BC" w14:paraId="000000C3" w14:textId="77777777">
            <w:pPr>
              <w:jc w:val="both"/>
              <w:rPr>
                <w:lang w:val="hr-HR"/>
              </w:rPr>
            </w:pPr>
          </w:p>
          <w:p w:rsidR="005657BC" w:rsidP="27F9B872" w:rsidRDefault="005657BC" w14:paraId="000000C4" w14:textId="77777777">
            <w:pPr>
              <w:jc w:val="both"/>
              <w:rPr>
                <w:lang w:val="hr-HR"/>
              </w:rPr>
            </w:pPr>
          </w:p>
        </w:tc>
        <w:tc>
          <w:tcPr>
            <w:tcW w:w="4675" w:type="dxa"/>
          </w:tcPr>
          <w:p w:rsidR="005657BC" w:rsidP="27F9B872" w:rsidRDefault="005657BC" w14:paraId="000000C5" w14:textId="77777777">
            <w:pPr>
              <w:jc w:val="both"/>
              <w:rPr>
                <w:b/>
                <w:bCs/>
                <w:lang w:val="hr-HR"/>
              </w:rPr>
            </w:pPr>
          </w:p>
        </w:tc>
      </w:tr>
      <w:tr w:rsidR="005657BC" w:rsidTr="27F9B872" w14:paraId="735EFC09" w14:textId="77777777">
        <w:tc>
          <w:tcPr>
            <w:tcW w:w="4675" w:type="dxa"/>
          </w:tcPr>
          <w:p w:rsidR="005657BC" w:rsidP="27F9B872" w:rsidRDefault="00DD7665" w14:paraId="000000C6" w14:textId="77777777">
            <w:pPr>
              <w:jc w:val="both"/>
              <w:rPr>
                <w:lang w:val="hr-HR"/>
              </w:rPr>
            </w:pPr>
            <w:r w:rsidRPr="27F9B872">
              <w:rPr>
                <w:lang w:val="hr-HR"/>
              </w:rPr>
              <w:t>Obrazovanje</w:t>
            </w:r>
          </w:p>
          <w:p w:rsidR="005657BC" w:rsidP="27F9B872" w:rsidRDefault="00DD7665" w14:paraId="000000C7" w14:textId="77777777">
            <w:pPr>
              <w:jc w:val="both"/>
              <w:rPr>
                <w:lang w:val="hr-HR"/>
              </w:rPr>
            </w:pPr>
            <w:r w:rsidRPr="27F9B872">
              <w:rPr>
                <w:lang w:val="hr-HR"/>
              </w:rPr>
              <w:t>(navesti stečeno zvanje i instituciju na kojoj je stečena)</w:t>
            </w:r>
          </w:p>
          <w:p w:rsidR="005657BC" w:rsidP="27F9B872" w:rsidRDefault="00DD7665" w14:paraId="000000C8" w14:textId="7777777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jc w:val="both"/>
              <w:rPr>
                <w:i/>
                <w:iCs/>
                <w:color w:val="000000" w:themeColor="text1"/>
                <w:lang w:val="hr-HR"/>
              </w:rPr>
            </w:pPr>
            <w:r w:rsidRPr="27F9B872">
              <w:rPr>
                <w:i/>
                <w:iCs/>
                <w:color w:val="000000" w:themeColor="text1"/>
                <w:lang w:val="hr-HR"/>
              </w:rPr>
              <w:t>Dokaz: diploma visokoškolske institucije</w:t>
            </w:r>
          </w:p>
        </w:tc>
        <w:tc>
          <w:tcPr>
            <w:tcW w:w="4675" w:type="dxa"/>
          </w:tcPr>
          <w:p w:rsidR="005657BC" w:rsidP="27F9B872" w:rsidRDefault="005657BC" w14:paraId="000000C9" w14:textId="77777777">
            <w:pPr>
              <w:jc w:val="both"/>
              <w:rPr>
                <w:b/>
                <w:bCs/>
                <w:lang w:val="hr-HR"/>
              </w:rPr>
            </w:pPr>
          </w:p>
        </w:tc>
      </w:tr>
      <w:tr w:rsidR="005657BC" w:rsidTr="27F9B872" w14:paraId="1DF7E028" w14:textId="77777777">
        <w:tc>
          <w:tcPr>
            <w:tcW w:w="4675" w:type="dxa"/>
          </w:tcPr>
          <w:p w:rsidR="005657BC" w:rsidP="27F9B872" w:rsidRDefault="00DD7665" w14:paraId="000000CA" w14:textId="77777777">
            <w:pPr>
              <w:jc w:val="both"/>
              <w:rPr>
                <w:lang w:val="hr-HR"/>
              </w:rPr>
            </w:pPr>
            <w:r w:rsidRPr="27F9B872">
              <w:rPr>
                <w:lang w:val="hr-HR"/>
              </w:rPr>
              <w:t>Radno iskustvo</w:t>
            </w:r>
          </w:p>
          <w:p w:rsidR="005657BC" w:rsidP="27F9B872" w:rsidRDefault="00DD7665" w14:paraId="000000CB" w14:textId="77777777">
            <w:pPr>
              <w:jc w:val="both"/>
              <w:rPr>
                <w:lang w:val="hr-HR"/>
              </w:rPr>
            </w:pPr>
            <w:r w:rsidRPr="27F9B872">
              <w:rPr>
                <w:lang w:val="hr-HR"/>
              </w:rPr>
              <w:t>(navesti radno iskustvo relevantno za prijavu na ovoj javni poziv, a na temelju kriterija za predmetnog stručnjaka za kojeg se prijavljuje)</w:t>
            </w:r>
          </w:p>
          <w:p w:rsidR="005657BC" w:rsidP="27F9B872" w:rsidRDefault="00DD7665" w14:paraId="000000CC" w14:textId="777777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jc w:val="both"/>
              <w:rPr>
                <w:i/>
                <w:iCs/>
                <w:color w:val="000000" w:themeColor="text1"/>
                <w:lang w:val="hr-HR"/>
              </w:rPr>
            </w:pPr>
            <w:r w:rsidRPr="27F9B872">
              <w:rPr>
                <w:i/>
                <w:iCs/>
                <w:color w:val="000000" w:themeColor="text1"/>
                <w:lang w:val="hr-HR"/>
              </w:rPr>
              <w:t>Dokaz: elektronički zapis o radno pravnom statusu</w:t>
            </w:r>
          </w:p>
        </w:tc>
        <w:tc>
          <w:tcPr>
            <w:tcW w:w="4675" w:type="dxa"/>
          </w:tcPr>
          <w:p w:rsidR="005657BC" w:rsidP="27F9B872" w:rsidRDefault="005657BC" w14:paraId="000000CD" w14:textId="77777777">
            <w:pPr>
              <w:jc w:val="both"/>
              <w:rPr>
                <w:b/>
                <w:bCs/>
                <w:lang w:val="hr-HR"/>
              </w:rPr>
            </w:pPr>
          </w:p>
        </w:tc>
      </w:tr>
      <w:tr w:rsidR="005657BC" w:rsidTr="27F9B872" w14:paraId="495F0DD0" w14:textId="77777777">
        <w:tc>
          <w:tcPr>
            <w:tcW w:w="4675" w:type="dxa"/>
          </w:tcPr>
          <w:p w:rsidR="005657BC" w:rsidP="27F9B872" w:rsidRDefault="00DD7665" w14:paraId="000000CE" w14:textId="77777777">
            <w:pPr>
              <w:jc w:val="both"/>
              <w:rPr>
                <w:lang w:val="hr-HR"/>
              </w:rPr>
            </w:pPr>
            <w:r w:rsidRPr="27F9B872">
              <w:rPr>
                <w:lang w:val="hr-HR"/>
              </w:rPr>
              <w:t>Obrazovni materijali na kojima je stručnjak bio autor ili koautor. </w:t>
            </w:r>
          </w:p>
          <w:p w:rsidR="005657BC" w:rsidP="27F9B872" w:rsidRDefault="005657BC" w14:paraId="000000CF" w14:textId="77777777">
            <w:pPr>
              <w:jc w:val="both"/>
              <w:rPr>
                <w:lang w:val="hr-HR"/>
              </w:rPr>
            </w:pPr>
          </w:p>
        </w:tc>
        <w:tc>
          <w:tcPr>
            <w:tcW w:w="4675" w:type="dxa"/>
          </w:tcPr>
          <w:p w:rsidR="005657BC" w:rsidP="27F9B872" w:rsidRDefault="005657BC" w14:paraId="000000D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ind w:left="720"/>
              <w:jc w:val="both"/>
              <w:rPr>
                <w:b/>
                <w:bCs/>
                <w:color w:val="000000"/>
                <w:lang w:val="hr-HR"/>
              </w:rPr>
            </w:pPr>
          </w:p>
        </w:tc>
      </w:tr>
    </w:tbl>
    <w:p w:rsidR="005657BC" w:rsidP="27F9B872" w:rsidRDefault="005657BC" w14:paraId="000000D1" w14:textId="77777777">
      <w:pPr>
        <w:jc w:val="both"/>
        <w:rPr>
          <w:b/>
          <w:bCs/>
          <w:lang w:val="hr-HR"/>
        </w:rPr>
      </w:pPr>
    </w:p>
    <w:sectPr w:rsidR="005657BC">
      <w:pgSz w:w="12240" w:h="15840" w:orient="portrait"/>
      <w:pgMar w:top="1440" w:right="1440" w:bottom="1440" w:left="1440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w:fontKey="{8D1A7088-467B-4C60-A4A8-834FD310E828}" r:id="rId1"/>
    <w:embedBold w:fontKey="{9AC70B12-86A1-45E6-9188-2120A3F1D00B}" r:id="rId2"/>
    <w:embedItalic w:fontKey="{95C5A14C-1893-4152-B2F1-D010FF29AC1D}" r:id="rId3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embedRegular w:fontKey="{E23C2990-4ECB-4423-8C24-A296CE05D7FF}" r:id="rId4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w:fontKey="{644EEFA5-B3FC-4FD6-B6BE-87131027A9B2}" r:id="rId5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1BDB"/>
    <w:multiLevelType w:val="multilevel"/>
    <w:tmpl w:val="FFFFFFFF"/>
    <w:lvl w:ilvl="0">
      <w:start w:val="3"/>
      <w:numFmt w:val="bullet"/>
      <w:lvlText w:val="-"/>
      <w:lvlJc w:val="left"/>
      <w:pPr>
        <w:ind w:left="1080" w:hanging="360"/>
      </w:pPr>
      <w:rPr>
        <w:rFonts w:ascii="Aptos" w:hAnsi="Aptos" w:eastAsia="Aptos" w:cs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5E9F3AE0"/>
    <w:multiLevelType w:val="multilevel"/>
    <w:tmpl w:val="FFFFFFFF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793C3585"/>
    <w:multiLevelType w:val="multilevel"/>
    <w:tmpl w:val="FFFFFFFF"/>
    <w:lvl w:ilvl="0">
      <w:start w:val="3"/>
      <w:numFmt w:val="bullet"/>
      <w:lvlText w:val="-"/>
      <w:lvlJc w:val="left"/>
      <w:pPr>
        <w:ind w:left="1080" w:hanging="360"/>
      </w:pPr>
      <w:rPr>
        <w:rFonts w:ascii="Aptos" w:hAnsi="Aptos" w:eastAsia="Aptos" w:cs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num w:numId="1" w16cid:durableId="1481656122">
    <w:abstractNumId w:val="1"/>
  </w:num>
  <w:num w:numId="2" w16cid:durableId="399837688">
    <w:abstractNumId w:val="2"/>
  </w:num>
  <w:num w:numId="3" w16cid:durableId="5690519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7BC"/>
    <w:rsid w:val="0001630C"/>
    <w:rsid w:val="00052450"/>
    <w:rsid w:val="003A51D0"/>
    <w:rsid w:val="003B764F"/>
    <w:rsid w:val="005657BC"/>
    <w:rsid w:val="00599810"/>
    <w:rsid w:val="007FE536"/>
    <w:rsid w:val="00A618DE"/>
    <w:rsid w:val="00C2D541"/>
    <w:rsid w:val="00DB25C1"/>
    <w:rsid w:val="00DD7665"/>
    <w:rsid w:val="019405F1"/>
    <w:rsid w:val="023F345A"/>
    <w:rsid w:val="02671029"/>
    <w:rsid w:val="02BD381F"/>
    <w:rsid w:val="03AAFFC9"/>
    <w:rsid w:val="05362DD2"/>
    <w:rsid w:val="05825523"/>
    <w:rsid w:val="058494C4"/>
    <w:rsid w:val="08FC70B3"/>
    <w:rsid w:val="0964B73F"/>
    <w:rsid w:val="0A9C6D01"/>
    <w:rsid w:val="0BF7EA4E"/>
    <w:rsid w:val="0D791DCE"/>
    <w:rsid w:val="0DD8C823"/>
    <w:rsid w:val="0E98B04E"/>
    <w:rsid w:val="0F066961"/>
    <w:rsid w:val="0FA0BE56"/>
    <w:rsid w:val="0FC883F3"/>
    <w:rsid w:val="10B989C0"/>
    <w:rsid w:val="1313848A"/>
    <w:rsid w:val="132B4C99"/>
    <w:rsid w:val="150384F4"/>
    <w:rsid w:val="166A4EA2"/>
    <w:rsid w:val="16867312"/>
    <w:rsid w:val="16ACAB14"/>
    <w:rsid w:val="17063ACA"/>
    <w:rsid w:val="179F7F8B"/>
    <w:rsid w:val="186F20B9"/>
    <w:rsid w:val="18956EB6"/>
    <w:rsid w:val="192F46FC"/>
    <w:rsid w:val="19A88EBB"/>
    <w:rsid w:val="1AA4C416"/>
    <w:rsid w:val="1B187153"/>
    <w:rsid w:val="1B26E7DA"/>
    <w:rsid w:val="1B2E3ADE"/>
    <w:rsid w:val="1C9CE6B1"/>
    <w:rsid w:val="1F047C7B"/>
    <w:rsid w:val="208A9BA8"/>
    <w:rsid w:val="225C7447"/>
    <w:rsid w:val="235CDF45"/>
    <w:rsid w:val="23638F87"/>
    <w:rsid w:val="23F2FFD7"/>
    <w:rsid w:val="2482C399"/>
    <w:rsid w:val="24956B3B"/>
    <w:rsid w:val="251A5BDE"/>
    <w:rsid w:val="258595CF"/>
    <w:rsid w:val="260E046C"/>
    <w:rsid w:val="267CE80B"/>
    <w:rsid w:val="26F2DD6F"/>
    <w:rsid w:val="27F9B872"/>
    <w:rsid w:val="28498CB9"/>
    <w:rsid w:val="299BBAC1"/>
    <w:rsid w:val="2A291941"/>
    <w:rsid w:val="2C9AD69B"/>
    <w:rsid w:val="2E04E4F5"/>
    <w:rsid w:val="2E5305A8"/>
    <w:rsid w:val="2E7EFFC5"/>
    <w:rsid w:val="2EE6B095"/>
    <w:rsid w:val="323C3C39"/>
    <w:rsid w:val="33762F91"/>
    <w:rsid w:val="348B1361"/>
    <w:rsid w:val="37C98D46"/>
    <w:rsid w:val="37E3C26E"/>
    <w:rsid w:val="38077605"/>
    <w:rsid w:val="38AF3908"/>
    <w:rsid w:val="38CE5A16"/>
    <w:rsid w:val="39BA6878"/>
    <w:rsid w:val="3B51066E"/>
    <w:rsid w:val="3C2E510E"/>
    <w:rsid w:val="3C559CE0"/>
    <w:rsid w:val="3C8C26FE"/>
    <w:rsid w:val="3CAE0103"/>
    <w:rsid w:val="3CD2C8A4"/>
    <w:rsid w:val="3E31C36B"/>
    <w:rsid w:val="3F7DE61F"/>
    <w:rsid w:val="3FDAD43D"/>
    <w:rsid w:val="4105DA94"/>
    <w:rsid w:val="411ECF27"/>
    <w:rsid w:val="4209936E"/>
    <w:rsid w:val="4359860E"/>
    <w:rsid w:val="43A197B6"/>
    <w:rsid w:val="43A5FE68"/>
    <w:rsid w:val="45EAB366"/>
    <w:rsid w:val="45FE441B"/>
    <w:rsid w:val="47487D3F"/>
    <w:rsid w:val="482BEF82"/>
    <w:rsid w:val="4C72C430"/>
    <w:rsid w:val="4C778965"/>
    <w:rsid w:val="4D522E02"/>
    <w:rsid w:val="4D8C40D3"/>
    <w:rsid w:val="4DEFEC71"/>
    <w:rsid w:val="4E6A7D4B"/>
    <w:rsid w:val="4EDD69B6"/>
    <w:rsid w:val="500EFF21"/>
    <w:rsid w:val="50A67602"/>
    <w:rsid w:val="518C69C7"/>
    <w:rsid w:val="51EBC8BD"/>
    <w:rsid w:val="52354991"/>
    <w:rsid w:val="5389D2C5"/>
    <w:rsid w:val="53D37433"/>
    <w:rsid w:val="540CF727"/>
    <w:rsid w:val="5628DDB2"/>
    <w:rsid w:val="57069828"/>
    <w:rsid w:val="57601B4B"/>
    <w:rsid w:val="5792C686"/>
    <w:rsid w:val="57977C93"/>
    <w:rsid w:val="590C5A5B"/>
    <w:rsid w:val="59A3F00D"/>
    <w:rsid w:val="5A7AF8BA"/>
    <w:rsid w:val="5C37CAE9"/>
    <w:rsid w:val="5C49B7A9"/>
    <w:rsid w:val="5C868166"/>
    <w:rsid w:val="5D2BF107"/>
    <w:rsid w:val="5DD0083D"/>
    <w:rsid w:val="5F28F4BF"/>
    <w:rsid w:val="5F518BE1"/>
    <w:rsid w:val="5F7FBCB4"/>
    <w:rsid w:val="609BF467"/>
    <w:rsid w:val="6156D096"/>
    <w:rsid w:val="6194AB65"/>
    <w:rsid w:val="61F8DBA1"/>
    <w:rsid w:val="623C6B2D"/>
    <w:rsid w:val="6366BCED"/>
    <w:rsid w:val="63FA7A83"/>
    <w:rsid w:val="64B6F749"/>
    <w:rsid w:val="64F2B286"/>
    <w:rsid w:val="64FDE190"/>
    <w:rsid w:val="651F8437"/>
    <w:rsid w:val="6527924B"/>
    <w:rsid w:val="665C0797"/>
    <w:rsid w:val="67D36099"/>
    <w:rsid w:val="6864CAB8"/>
    <w:rsid w:val="68BC55AD"/>
    <w:rsid w:val="6911B0C7"/>
    <w:rsid w:val="6A2D5DA2"/>
    <w:rsid w:val="6E9DC625"/>
    <w:rsid w:val="6EC8DBC3"/>
    <w:rsid w:val="6F3314E7"/>
    <w:rsid w:val="709E7611"/>
    <w:rsid w:val="731B3C76"/>
    <w:rsid w:val="73405CF3"/>
    <w:rsid w:val="73EBF44C"/>
    <w:rsid w:val="74B0596A"/>
    <w:rsid w:val="74EFAF39"/>
    <w:rsid w:val="7505BDC5"/>
    <w:rsid w:val="75A25433"/>
    <w:rsid w:val="76CBF423"/>
    <w:rsid w:val="76D6B391"/>
    <w:rsid w:val="76E51FD1"/>
    <w:rsid w:val="79D414E8"/>
    <w:rsid w:val="7C4AEBA5"/>
    <w:rsid w:val="7CA6F8D6"/>
    <w:rsid w:val="7CCFC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029173C-FAD4-4BB5-8F04-2DF5C5C9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eastAsia="Aptos" w:cs="Aptos"/>
        <w:sz w:val="24"/>
        <w:szCs w:val="24"/>
        <w:lang w:val="en-US" w:eastAsia="ja-JP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F8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F8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F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F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F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F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F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F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F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F3F8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6F3F8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6F3F8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3F8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3F8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3F8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3F8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3F8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3F8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3F81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sid w:val="006F3F8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3F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F8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3F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F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F8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3F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F8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15C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42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2B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663CB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B7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754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B75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54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B754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E3E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microsoft.com/office/2016/09/relationships/commentsIds" Target="commentsIds.xml" Id="rId8" /><Relationship Type="http://schemas.openxmlformats.org/officeDocument/2006/relationships/styles" Target="styles.xml" Id="rId3" /><Relationship Type="http://schemas.microsoft.com/office/2011/relationships/commentsExtended" Target="commentsExtended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microsoft.com/office/2011/relationships/people" Target="people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1Ml0grAoGE5Wq0rrywq0uHkzBw==">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Tvrtko Pleić</dc:creator>
  <lastModifiedBy>Matko Mužević</lastModifiedBy>
  <revision>7</revision>
  <dcterms:created xsi:type="dcterms:W3CDTF">2025-09-25T07:44:00.0000000Z</dcterms:created>
  <dcterms:modified xsi:type="dcterms:W3CDTF">2025-10-06T13:15:37.7823174Z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0x0101009360913A1E8D2B4E9DA33236D553215D</vt:lpwstr>
  </property>
</Properties>
</file>